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0F09D" w14:textId="77777777" w:rsidR="00401C82" w:rsidRDefault="00000000">
      <w:pPr>
        <w:tabs>
          <w:tab w:val="left" w:pos="1155"/>
          <w:tab w:val="center" w:pos="4536"/>
          <w:tab w:val="left" w:pos="6480"/>
        </w:tabs>
        <w:spacing w:before="120"/>
        <w:jc w:val="center"/>
        <w:outlineLvl w:val="0"/>
        <w:rPr>
          <w:rFonts w:asciiTheme="minorHAnsi" w:hAnsiTheme="minorHAnsi" w:cstheme="minorBidi"/>
          <w:b/>
          <w:bCs/>
          <w:sz w:val="32"/>
          <w:szCs w:val="32"/>
        </w:rPr>
      </w:pPr>
      <w:r>
        <w:rPr>
          <w:rFonts w:asciiTheme="minorHAnsi" w:hAnsiTheme="minorHAnsi" w:cstheme="minorBidi"/>
          <w:b/>
          <w:bCs/>
          <w:sz w:val="32"/>
          <w:szCs w:val="32"/>
        </w:rPr>
        <w:t xml:space="preserve">CAHIER DES CHARGES ET SPECIFICATION TECHNIQUES </w:t>
      </w:r>
    </w:p>
    <w:p w14:paraId="1FAB7B39" w14:textId="77777777" w:rsidR="00401C82" w:rsidRDefault="00401C82">
      <w:pPr>
        <w:spacing w:before="60"/>
        <w:outlineLvl w:val="0"/>
        <w:rPr>
          <w:rFonts w:asciiTheme="minorHAnsi" w:hAnsiTheme="minorHAnsi" w:cstheme="minorHAnsi"/>
          <w:sz w:val="22"/>
          <w:szCs w:val="22"/>
        </w:rPr>
      </w:pPr>
    </w:p>
    <w:p w14:paraId="10A2F86D"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Informations générales</w:t>
      </w:r>
    </w:p>
    <w:p w14:paraId="57212259" w14:textId="77777777" w:rsidR="00401C82" w:rsidRDefault="00401C82">
      <w:pPr>
        <w:spacing w:before="60"/>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401C82" w14:paraId="4A640C6B" w14:textId="77777777">
        <w:trPr>
          <w:trHeight w:val="652"/>
        </w:trPr>
        <w:tc>
          <w:tcPr>
            <w:tcW w:w="2903" w:type="dxa"/>
            <w:tcBorders>
              <w:top w:val="single" w:sz="4" w:space="0" w:color="auto"/>
              <w:bottom w:val="single" w:sz="4" w:space="0" w:color="auto"/>
              <w:right w:val="single" w:sz="2" w:space="0" w:color="000000" w:themeColor="text1"/>
            </w:tcBorders>
            <w:shd w:val="clear" w:color="auto" w:fill="E6E6E6"/>
          </w:tcPr>
          <w:p w14:paraId="2D2F8561" w14:textId="77777777" w:rsidR="00401C82" w:rsidRDefault="00000000">
            <w:pPr>
              <w:spacing w:before="60"/>
              <w:outlineLvl w:val="0"/>
              <w:rPr>
                <w:rFonts w:asciiTheme="minorHAnsi" w:hAnsiTheme="minorHAnsi" w:cstheme="minorHAnsi"/>
                <w:sz w:val="22"/>
                <w:szCs w:val="22"/>
              </w:rPr>
            </w:pPr>
            <w:r>
              <w:rPr>
                <w:rFonts w:asciiTheme="minorHAnsi" w:hAnsiTheme="minorHAnsi" w:cstheme="minorHAnsi"/>
                <w:sz w:val="22"/>
                <w:szCs w:val="22"/>
              </w:rPr>
              <w:t>Intitulé de la mission</w:t>
            </w:r>
          </w:p>
        </w:tc>
        <w:tc>
          <w:tcPr>
            <w:tcW w:w="6169" w:type="dxa"/>
            <w:tcBorders>
              <w:top w:val="single" w:sz="4" w:space="0" w:color="auto"/>
              <w:left w:val="single" w:sz="2" w:space="0" w:color="000000" w:themeColor="text1"/>
              <w:bottom w:val="single" w:sz="4" w:space="0" w:color="auto"/>
            </w:tcBorders>
          </w:tcPr>
          <w:p w14:paraId="131C93F0" w14:textId="77777777" w:rsidR="00401C82" w:rsidRDefault="00000000">
            <w:pPr>
              <w:spacing w:before="60"/>
              <w:jc w:val="both"/>
              <w:outlineLvl w:val="0"/>
              <w:rPr>
                <w:rFonts w:asciiTheme="minorHAnsi" w:hAnsiTheme="minorHAnsi" w:cstheme="minorBidi"/>
                <w:sz w:val="22"/>
                <w:szCs w:val="22"/>
              </w:rPr>
            </w:pPr>
            <w:r>
              <w:rPr>
                <w:rFonts w:asciiTheme="minorHAnsi" w:hAnsiTheme="minorHAnsi" w:cstheme="minorBidi"/>
                <w:sz w:val="22"/>
                <w:szCs w:val="22"/>
              </w:rPr>
              <w:t>Mise en œuvre de l’Assistance Technique : Gouvernance, registre Article 6.2 (ITMO) et structuration financière pour un programme national « carbone mangroves » en Haïti (EUROCLIMA CARAÏBES)</w:t>
            </w:r>
          </w:p>
        </w:tc>
      </w:tr>
      <w:tr w:rsidR="00401C82" w14:paraId="182E75CE" w14:textId="77777777">
        <w:trPr>
          <w:trHeight w:val="315"/>
        </w:trPr>
        <w:tc>
          <w:tcPr>
            <w:tcW w:w="2903" w:type="dxa"/>
            <w:tcBorders>
              <w:top w:val="single" w:sz="4" w:space="0" w:color="auto"/>
              <w:bottom w:val="single" w:sz="4" w:space="0" w:color="auto"/>
              <w:right w:val="single" w:sz="2" w:space="0" w:color="000000" w:themeColor="text1"/>
            </w:tcBorders>
            <w:shd w:val="clear" w:color="auto" w:fill="E6E6E6"/>
          </w:tcPr>
          <w:p w14:paraId="7B3D417B" w14:textId="77777777" w:rsidR="00401C82" w:rsidRDefault="00000000">
            <w:pPr>
              <w:spacing w:before="60"/>
              <w:outlineLvl w:val="0"/>
              <w:rPr>
                <w:rFonts w:asciiTheme="minorHAnsi" w:hAnsiTheme="minorHAnsi" w:cstheme="minorHAnsi"/>
                <w:sz w:val="22"/>
                <w:szCs w:val="22"/>
              </w:rPr>
            </w:pPr>
            <w:r>
              <w:rPr>
                <w:rFonts w:asciiTheme="minorHAnsi" w:hAnsiTheme="minorHAnsi" w:cstheme="minorHAnsi"/>
                <w:sz w:val="22"/>
                <w:szCs w:val="22"/>
              </w:rPr>
              <w:t>Bénéficiaire(s)</w:t>
            </w:r>
          </w:p>
        </w:tc>
        <w:tc>
          <w:tcPr>
            <w:tcW w:w="6169" w:type="dxa"/>
            <w:tcBorders>
              <w:top w:val="single" w:sz="4" w:space="0" w:color="auto"/>
              <w:left w:val="single" w:sz="2" w:space="0" w:color="000000" w:themeColor="text1"/>
              <w:bottom w:val="single" w:sz="4" w:space="0" w:color="auto"/>
            </w:tcBorders>
          </w:tcPr>
          <w:p w14:paraId="7805F900" w14:textId="1D3535F5" w:rsidR="00401C82" w:rsidRDefault="00000000">
            <w:pPr>
              <w:spacing w:before="60"/>
              <w:jc w:val="both"/>
              <w:outlineLvl w:val="0"/>
              <w:rPr>
                <w:rFonts w:asciiTheme="minorHAnsi" w:hAnsiTheme="minorHAnsi" w:cstheme="minorBidi"/>
                <w:sz w:val="22"/>
                <w:szCs w:val="22"/>
              </w:rPr>
            </w:pPr>
            <w:r>
              <w:rPr>
                <w:rFonts w:asciiTheme="minorHAnsi" w:hAnsiTheme="minorHAnsi" w:cstheme="minorBidi"/>
                <w:sz w:val="22"/>
                <w:szCs w:val="22"/>
              </w:rPr>
              <w:t xml:space="preserve">Gouvernement d’Haïti, notamment le </w:t>
            </w:r>
            <w:proofErr w:type="gramStart"/>
            <w:r>
              <w:rPr>
                <w:rFonts w:asciiTheme="minorHAnsi" w:hAnsiTheme="minorHAnsi" w:cstheme="minorBidi"/>
                <w:sz w:val="22"/>
                <w:szCs w:val="22"/>
              </w:rPr>
              <w:t>Ministère de l’Environnement</w:t>
            </w:r>
            <w:proofErr w:type="gramEnd"/>
            <w:r>
              <w:rPr>
                <w:rFonts w:asciiTheme="minorHAnsi" w:hAnsiTheme="minorHAnsi" w:cstheme="minorBidi"/>
                <w:sz w:val="22"/>
                <w:szCs w:val="22"/>
              </w:rPr>
              <w:t xml:space="preserv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et le Bureau de l’Ordonnateur National (BON) (partie prenante de coordination)</w:t>
            </w:r>
          </w:p>
        </w:tc>
      </w:tr>
      <w:tr w:rsidR="00401C82" w14:paraId="2D2B1121" w14:textId="77777777">
        <w:trPr>
          <w:trHeight w:val="330"/>
        </w:trPr>
        <w:tc>
          <w:tcPr>
            <w:tcW w:w="2903" w:type="dxa"/>
            <w:tcBorders>
              <w:top w:val="single" w:sz="4" w:space="0" w:color="auto"/>
              <w:bottom w:val="single" w:sz="4" w:space="0" w:color="auto"/>
              <w:right w:val="single" w:sz="2" w:space="0" w:color="000000" w:themeColor="text1"/>
            </w:tcBorders>
            <w:shd w:val="clear" w:color="auto" w:fill="E6E6E6"/>
          </w:tcPr>
          <w:p w14:paraId="496A1C9A" w14:textId="77777777" w:rsidR="00401C82" w:rsidRDefault="00000000">
            <w:pPr>
              <w:spacing w:before="60"/>
              <w:outlineLvl w:val="0"/>
              <w:rPr>
                <w:rFonts w:asciiTheme="minorHAnsi" w:hAnsiTheme="minorHAnsi" w:cstheme="minorHAnsi"/>
                <w:sz w:val="22"/>
                <w:szCs w:val="22"/>
              </w:rPr>
            </w:pPr>
            <w:r>
              <w:rPr>
                <w:rFonts w:asciiTheme="minorHAnsi" w:hAnsiTheme="minorHAnsi" w:cstheme="minorHAnsi"/>
                <w:sz w:val="22"/>
                <w:szCs w:val="22"/>
              </w:rPr>
              <w:t>Pays</w:t>
            </w:r>
          </w:p>
        </w:tc>
        <w:tc>
          <w:tcPr>
            <w:tcW w:w="6169" w:type="dxa"/>
            <w:tcBorders>
              <w:top w:val="single" w:sz="4" w:space="0" w:color="auto"/>
              <w:left w:val="single" w:sz="2" w:space="0" w:color="000000" w:themeColor="text1"/>
              <w:bottom w:val="single" w:sz="4" w:space="0" w:color="auto"/>
            </w:tcBorders>
            <w:vAlign w:val="bottom"/>
          </w:tcPr>
          <w:p w14:paraId="06D825B4" w14:textId="77777777" w:rsidR="00401C82" w:rsidRDefault="00000000">
            <w:pPr>
              <w:spacing w:before="60" w:line="259" w:lineRule="auto"/>
              <w:rPr>
                <w:rFonts w:asciiTheme="minorHAnsi" w:hAnsiTheme="minorHAnsi" w:cstheme="minorBidi"/>
                <w:sz w:val="22"/>
                <w:szCs w:val="22"/>
              </w:rPr>
            </w:pPr>
            <w:r>
              <w:rPr>
                <w:rFonts w:asciiTheme="minorHAnsi" w:hAnsiTheme="minorHAnsi" w:cstheme="minorBidi"/>
                <w:sz w:val="22"/>
                <w:szCs w:val="22"/>
              </w:rPr>
              <w:t>Haïti</w:t>
            </w:r>
          </w:p>
        </w:tc>
      </w:tr>
      <w:tr w:rsidR="00401C82" w14:paraId="3CA6FE77" w14:textId="77777777">
        <w:trPr>
          <w:trHeight w:val="330"/>
        </w:trPr>
        <w:tc>
          <w:tcPr>
            <w:tcW w:w="2903" w:type="dxa"/>
            <w:tcBorders>
              <w:top w:val="single" w:sz="4" w:space="0" w:color="auto"/>
              <w:bottom w:val="single" w:sz="4" w:space="0" w:color="auto"/>
              <w:right w:val="single" w:sz="2" w:space="0" w:color="000000" w:themeColor="text1"/>
            </w:tcBorders>
            <w:shd w:val="clear" w:color="auto" w:fill="E6E6E6"/>
          </w:tcPr>
          <w:p w14:paraId="683CF54E" w14:textId="162F73B6" w:rsidR="00401C82" w:rsidRDefault="00000000">
            <w:pPr>
              <w:spacing w:before="60"/>
              <w:outlineLvl w:val="0"/>
              <w:rPr>
                <w:rFonts w:asciiTheme="minorHAnsi" w:hAnsiTheme="minorHAnsi" w:cstheme="minorBidi"/>
                <w:sz w:val="22"/>
                <w:szCs w:val="22"/>
              </w:rPr>
            </w:pPr>
            <w:r>
              <w:rPr>
                <w:rFonts w:asciiTheme="minorHAnsi" w:hAnsiTheme="minorHAnsi" w:cstheme="minorBidi"/>
                <w:sz w:val="22"/>
                <w:szCs w:val="22"/>
              </w:rPr>
              <w:t xml:space="preserve">Durée totale estimée en mois </w:t>
            </w:r>
          </w:p>
        </w:tc>
        <w:tc>
          <w:tcPr>
            <w:tcW w:w="6169" w:type="dxa"/>
            <w:tcBorders>
              <w:top w:val="single" w:sz="4" w:space="0" w:color="auto"/>
              <w:left w:val="single" w:sz="2" w:space="0" w:color="000000" w:themeColor="text1"/>
              <w:bottom w:val="single" w:sz="4" w:space="0" w:color="auto"/>
            </w:tcBorders>
          </w:tcPr>
          <w:p w14:paraId="059B94C5" w14:textId="77777777" w:rsidR="00401C82" w:rsidRDefault="00000000">
            <w:pPr>
              <w:spacing w:before="60"/>
              <w:outlineLvl w:val="0"/>
              <w:rPr>
                <w:rFonts w:asciiTheme="minorHAnsi" w:hAnsiTheme="minorHAnsi" w:cstheme="minorBidi"/>
                <w:sz w:val="22"/>
                <w:szCs w:val="22"/>
              </w:rPr>
            </w:pPr>
            <w:r>
              <w:rPr>
                <w:rFonts w:asciiTheme="minorHAnsi" w:hAnsiTheme="minorHAnsi" w:cstheme="minorBidi"/>
                <w:sz w:val="22"/>
                <w:szCs w:val="22"/>
              </w:rPr>
              <w:t xml:space="preserve"> 12 mois</w:t>
            </w:r>
          </w:p>
        </w:tc>
      </w:tr>
    </w:tbl>
    <w:p w14:paraId="6D7CFE35" w14:textId="77777777" w:rsidR="00401C82" w:rsidRDefault="00401C82">
      <w:pPr>
        <w:spacing w:before="60"/>
        <w:outlineLvl w:val="0"/>
        <w:rPr>
          <w:rFonts w:asciiTheme="minorHAnsi" w:hAnsiTheme="minorHAnsi" w:cstheme="minorBidi"/>
          <w:sz w:val="22"/>
          <w:szCs w:val="22"/>
        </w:rPr>
      </w:pPr>
    </w:p>
    <w:p w14:paraId="6F31356E" w14:textId="77777777" w:rsidR="00401C82" w:rsidRDefault="00401C82">
      <w:pPr>
        <w:spacing w:before="60"/>
        <w:outlineLvl w:val="0"/>
        <w:rPr>
          <w:rFonts w:asciiTheme="minorHAnsi" w:hAnsiTheme="minorHAnsi" w:cstheme="minorBidi"/>
          <w:sz w:val="22"/>
          <w:szCs w:val="22"/>
        </w:rPr>
      </w:pPr>
    </w:p>
    <w:p w14:paraId="4DDBB8AB" w14:textId="77777777" w:rsidR="00401C82" w:rsidRDefault="00000000">
      <w:pPr>
        <w:spacing w:before="60"/>
        <w:outlineLvl w:val="0"/>
        <w:rPr>
          <w:rFonts w:asciiTheme="minorHAnsi" w:hAnsiTheme="minorHAnsi" w:cstheme="minorBidi"/>
        </w:rPr>
      </w:pPr>
      <w:r>
        <w:rPr>
          <w:rFonts w:asciiTheme="minorHAnsi" w:hAnsiTheme="minorHAnsi" w:cstheme="minorBidi"/>
        </w:rPr>
        <w:t xml:space="preserve">Glossaire </w:t>
      </w:r>
    </w:p>
    <w:p w14:paraId="01484DC5" w14:textId="77777777" w:rsidR="00401C82" w:rsidRDefault="00000000">
      <w:pPr>
        <w:spacing w:before="60"/>
        <w:outlineLvl w:val="0"/>
        <w:rPr>
          <w:rFonts w:asciiTheme="minorHAnsi" w:hAnsiTheme="minorHAnsi" w:cstheme="minorBidi"/>
          <w:sz w:val="22"/>
          <w:szCs w:val="22"/>
        </w:rPr>
      </w:pPr>
      <w:r>
        <w:rPr>
          <w:rFonts w:asciiTheme="minorHAnsi" w:hAnsiTheme="minorHAnsi" w:cstheme="minorBidi"/>
          <w:sz w:val="22"/>
          <w:szCs w:val="22"/>
        </w:rPr>
        <w:t>ANAP........................................................................................... Agence Nationale des Aires Protégées</w:t>
      </w:r>
      <w:r>
        <w:br/>
      </w:r>
      <w:r>
        <w:rPr>
          <w:rFonts w:ascii="Calibri" w:eastAsia="Calibri" w:hAnsi="Calibri" w:cs="Calibri"/>
          <w:sz w:val="22"/>
          <w:szCs w:val="22"/>
        </w:rPr>
        <w:t>ANDH.............................................................................................. Autorité Nationale Désignée d’Haïti</w:t>
      </w:r>
    </w:p>
    <w:p w14:paraId="4DDC2348" w14:textId="77777777" w:rsidR="00401C82" w:rsidRDefault="00000000">
      <w:pPr>
        <w:spacing w:before="60" w:line="259" w:lineRule="auto"/>
        <w:rPr>
          <w:rFonts w:ascii="Calibri" w:eastAsia="Calibri" w:hAnsi="Calibri" w:cs="Calibri"/>
          <w:sz w:val="22"/>
          <w:szCs w:val="22"/>
          <w:lang w:val="fr-FR"/>
        </w:rPr>
      </w:pPr>
      <w:r>
        <w:rPr>
          <w:rFonts w:ascii="Calibri" w:eastAsia="Calibri" w:hAnsi="Calibri" w:cs="Calibri"/>
          <w:sz w:val="22"/>
          <w:szCs w:val="22"/>
          <w:lang w:val="fr-FR"/>
        </w:rPr>
        <w:t>BON................................................................................................... Bureau de l’Ordonnateur National</w:t>
      </w:r>
      <w:r>
        <w:br/>
      </w:r>
      <w:r>
        <w:rPr>
          <w:rFonts w:ascii="Calibri" w:eastAsia="Calibri" w:hAnsi="Calibri" w:cs="Calibri"/>
          <w:sz w:val="22"/>
          <w:szCs w:val="22"/>
          <w:lang w:val="fr-FR"/>
        </w:rPr>
        <w:t xml:space="preserve">CAPEX...................................................................................................................... Capital </w:t>
      </w:r>
      <w:proofErr w:type="spellStart"/>
      <w:r>
        <w:rPr>
          <w:rFonts w:ascii="Calibri" w:eastAsia="Calibri" w:hAnsi="Calibri" w:cs="Calibri"/>
          <w:sz w:val="22"/>
          <w:szCs w:val="22"/>
          <w:lang w:val="fr-FR"/>
        </w:rPr>
        <w:t>Expenditures</w:t>
      </w:r>
      <w:proofErr w:type="spellEnd"/>
      <w:r>
        <w:br/>
      </w:r>
      <w:r>
        <w:rPr>
          <w:rFonts w:ascii="Calibri" w:eastAsia="Calibri" w:hAnsi="Calibri" w:cs="Calibri"/>
          <w:sz w:val="22"/>
          <w:szCs w:val="22"/>
          <w:lang w:val="fr-FR"/>
        </w:rPr>
        <w:t xml:space="preserve">CBF ............................................................................................................. Caribbean </w:t>
      </w:r>
      <w:proofErr w:type="spellStart"/>
      <w:r>
        <w:rPr>
          <w:rFonts w:ascii="Calibri" w:eastAsia="Calibri" w:hAnsi="Calibri" w:cs="Calibri"/>
          <w:sz w:val="22"/>
          <w:szCs w:val="22"/>
          <w:lang w:val="fr-FR"/>
        </w:rPr>
        <w:t>Biodiversity</w:t>
      </w:r>
      <w:proofErr w:type="spellEnd"/>
      <w:r>
        <w:rPr>
          <w:rFonts w:ascii="Calibri" w:eastAsia="Calibri" w:hAnsi="Calibri" w:cs="Calibri"/>
          <w:sz w:val="22"/>
          <w:szCs w:val="22"/>
          <w:lang w:val="fr-FR"/>
        </w:rPr>
        <w:t xml:space="preserve"> Fund</w:t>
      </w:r>
      <w:r>
        <w:br/>
      </w:r>
      <w:r>
        <w:rPr>
          <w:rFonts w:ascii="Calibri" w:eastAsia="Calibri" w:hAnsi="Calibri" w:cs="Calibri"/>
          <w:sz w:val="22"/>
          <w:szCs w:val="22"/>
          <w:lang w:val="fr-FR"/>
        </w:rPr>
        <w:t>CDN ................................................................................. Contribution Déterminée au niveau National</w:t>
      </w:r>
      <w:r>
        <w:br/>
      </w:r>
      <w:r>
        <w:rPr>
          <w:rFonts w:ascii="Calibri" w:eastAsia="Calibri" w:hAnsi="Calibri" w:cs="Calibri"/>
          <w:sz w:val="22"/>
          <w:szCs w:val="22"/>
          <w:lang w:val="fr-FR"/>
        </w:rPr>
        <w:t>CR ..................................................................................................................................... Compte rendu</w:t>
      </w:r>
      <w:r>
        <w:br/>
      </w:r>
      <w:r>
        <w:rPr>
          <w:rFonts w:ascii="Calibri" w:eastAsia="Calibri" w:hAnsi="Calibri" w:cs="Calibri"/>
          <w:sz w:val="22"/>
          <w:szCs w:val="22"/>
          <w:lang w:val="fr-FR"/>
        </w:rPr>
        <w:t xml:space="preserve">CRAB .......................................................................... Caribbean Regional Architecture for </w:t>
      </w:r>
      <w:proofErr w:type="spellStart"/>
      <w:r>
        <w:rPr>
          <w:rFonts w:ascii="Calibri" w:eastAsia="Calibri" w:hAnsi="Calibri" w:cs="Calibri"/>
          <w:sz w:val="22"/>
          <w:szCs w:val="22"/>
          <w:lang w:val="fr-FR"/>
        </w:rPr>
        <w:t>Biodiversity</w:t>
      </w:r>
      <w:proofErr w:type="spellEnd"/>
    </w:p>
    <w:p w14:paraId="11425B26" w14:textId="77777777" w:rsidR="00401C82" w:rsidRDefault="00000000">
      <w:pPr>
        <w:spacing w:before="60" w:line="259" w:lineRule="auto"/>
        <w:rPr>
          <w:rFonts w:asciiTheme="minorHAnsi" w:hAnsiTheme="minorHAnsi" w:cstheme="minorBidi"/>
          <w:sz w:val="22"/>
          <w:szCs w:val="22"/>
        </w:rPr>
      </w:pPr>
      <w:r>
        <w:rPr>
          <w:rFonts w:ascii="Calibri" w:eastAsia="Calibri" w:hAnsi="Calibri" w:cs="Calibri"/>
          <w:sz w:val="22"/>
          <w:szCs w:val="22"/>
        </w:rPr>
        <w:t>DCC .............................................................................................. Directrice du changement climatique</w:t>
      </w:r>
    </w:p>
    <w:p w14:paraId="39AF8584" w14:textId="77777777" w:rsidR="00401C82" w:rsidRDefault="00000000">
      <w:pPr>
        <w:spacing w:before="60" w:line="259" w:lineRule="auto"/>
        <w:rPr>
          <w:rFonts w:asciiTheme="minorHAnsi" w:hAnsiTheme="minorHAnsi" w:cstheme="minorBidi"/>
          <w:sz w:val="22"/>
          <w:szCs w:val="22"/>
        </w:rPr>
      </w:pPr>
      <w:r>
        <w:rPr>
          <w:rFonts w:ascii="Calibri" w:eastAsia="Calibri" w:hAnsi="Calibri" w:cs="Calibri"/>
          <w:sz w:val="22"/>
          <w:szCs w:val="22"/>
        </w:rPr>
        <w:t>DUE .................................................................................... Délégation de l’Union européenne en Haïti</w:t>
      </w:r>
      <w:r>
        <w:br/>
      </w:r>
      <w:r>
        <w:rPr>
          <w:rFonts w:ascii="Calibri" w:eastAsia="Calibri" w:hAnsi="Calibri" w:cs="Calibri"/>
          <w:sz w:val="22"/>
          <w:szCs w:val="22"/>
        </w:rPr>
        <w:t>EF .................................................................................................................................. Expertise France</w:t>
      </w:r>
    </w:p>
    <w:p w14:paraId="1DA1E216"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lang w:val="en-US"/>
        </w:rPr>
        <w:t>ERPA ...................................................................................... Emission Reduction Purchase Agreement</w:t>
      </w:r>
      <w:r>
        <w:br/>
      </w:r>
      <w:r>
        <w:rPr>
          <w:rFonts w:ascii="Calibri" w:eastAsia="Calibri" w:hAnsi="Calibri" w:cs="Calibri"/>
          <w:sz w:val="22"/>
          <w:szCs w:val="22"/>
          <w:lang w:val="en-US"/>
        </w:rPr>
        <w:t xml:space="preserve">FHB .................................................................................................... Fonds </w:t>
      </w:r>
      <w:proofErr w:type="spellStart"/>
      <w:r>
        <w:rPr>
          <w:rFonts w:ascii="Calibri" w:eastAsia="Calibri" w:hAnsi="Calibri" w:cs="Calibri"/>
          <w:sz w:val="22"/>
          <w:szCs w:val="22"/>
          <w:lang w:val="en-US"/>
        </w:rPr>
        <w:t>Haïtien</w:t>
      </w:r>
      <w:proofErr w:type="spellEnd"/>
      <w:r>
        <w:rPr>
          <w:rFonts w:ascii="Calibri" w:eastAsia="Calibri" w:hAnsi="Calibri" w:cs="Calibri"/>
          <w:sz w:val="22"/>
          <w:szCs w:val="22"/>
          <w:lang w:val="en-US"/>
        </w:rPr>
        <w:t xml:space="preserve"> pour la </w:t>
      </w:r>
      <w:proofErr w:type="spellStart"/>
      <w:r>
        <w:rPr>
          <w:rFonts w:ascii="Calibri" w:eastAsia="Calibri" w:hAnsi="Calibri" w:cs="Calibri"/>
          <w:sz w:val="22"/>
          <w:szCs w:val="22"/>
          <w:lang w:val="en-US"/>
        </w:rPr>
        <w:t>Biodiversité</w:t>
      </w:r>
      <w:proofErr w:type="spellEnd"/>
      <w:r>
        <w:br/>
      </w:r>
      <w:r>
        <w:rPr>
          <w:rFonts w:ascii="Calibri" w:eastAsia="Calibri" w:hAnsi="Calibri" w:cs="Calibri"/>
          <w:sz w:val="22"/>
          <w:szCs w:val="22"/>
          <w:lang w:val="en-US"/>
        </w:rPr>
        <w:t>FPIC ................................................................................................... Free, Prior and Informed Consent</w:t>
      </w:r>
      <w:r>
        <w:br/>
      </w:r>
      <w:r>
        <w:rPr>
          <w:rFonts w:ascii="Calibri" w:eastAsia="Calibri" w:hAnsi="Calibri" w:cs="Calibri"/>
          <w:sz w:val="22"/>
          <w:szCs w:val="22"/>
          <w:lang w:val="en-US"/>
        </w:rPr>
        <w:t xml:space="preserve">FVC ................................................................................................................. Fonds </w:t>
      </w:r>
      <w:proofErr w:type="gramStart"/>
      <w:r>
        <w:rPr>
          <w:rFonts w:ascii="Calibri" w:eastAsia="Calibri" w:hAnsi="Calibri" w:cs="Calibri"/>
          <w:sz w:val="22"/>
          <w:szCs w:val="22"/>
          <w:lang w:val="en-US"/>
        </w:rPr>
        <w:t>vert</w:t>
      </w:r>
      <w:proofErr w:type="gramEnd"/>
      <w:r>
        <w:rPr>
          <w:rFonts w:ascii="Calibri" w:eastAsia="Calibri" w:hAnsi="Calibri" w:cs="Calibri"/>
          <w:sz w:val="22"/>
          <w:szCs w:val="22"/>
          <w:lang w:val="en-US"/>
        </w:rPr>
        <w:t xml:space="preserve"> pour le </w:t>
      </w:r>
      <w:proofErr w:type="spellStart"/>
      <w:r>
        <w:rPr>
          <w:rFonts w:ascii="Calibri" w:eastAsia="Calibri" w:hAnsi="Calibri" w:cs="Calibri"/>
          <w:sz w:val="22"/>
          <w:szCs w:val="22"/>
          <w:lang w:val="en-US"/>
        </w:rPr>
        <w:t>climat</w:t>
      </w:r>
      <w:proofErr w:type="spellEnd"/>
      <w:r>
        <w:br/>
      </w:r>
      <w:r>
        <w:rPr>
          <w:rFonts w:ascii="Calibri" w:eastAsia="Calibri" w:hAnsi="Calibri" w:cs="Calibri"/>
          <w:sz w:val="22"/>
          <w:szCs w:val="22"/>
          <w:lang w:val="en-US"/>
        </w:rPr>
        <w:t>GGIA .............................................................................................. Global Gateway Investment Agenda</w:t>
      </w:r>
      <w:r>
        <w:br/>
      </w:r>
      <w:r>
        <w:rPr>
          <w:rFonts w:ascii="Calibri" w:eastAsia="Calibri" w:hAnsi="Calibri" w:cs="Calibri"/>
          <w:sz w:val="22"/>
          <w:szCs w:val="22"/>
          <w:lang w:val="en-US"/>
        </w:rPr>
        <w:t>IRR ...................................................................................................................... Internal Rate of Return</w:t>
      </w:r>
      <w:r>
        <w:br/>
      </w:r>
      <w:r>
        <w:rPr>
          <w:rFonts w:ascii="Calibri" w:eastAsia="Calibri" w:hAnsi="Calibri" w:cs="Calibri"/>
          <w:sz w:val="22"/>
          <w:szCs w:val="22"/>
          <w:lang w:val="en-US"/>
        </w:rPr>
        <w:t>ITMO ......................................................................... Internationally Transferred Mitigation Outcomes</w:t>
      </w:r>
      <w:r>
        <w:br/>
      </w:r>
      <w:proofErr w:type="spellStart"/>
      <w:r>
        <w:rPr>
          <w:rFonts w:ascii="Calibri" w:eastAsia="Calibri" w:hAnsi="Calibri" w:cs="Calibri"/>
          <w:sz w:val="22"/>
          <w:szCs w:val="22"/>
          <w:lang w:val="en-US"/>
        </w:rPr>
        <w:t>LoA</w:t>
      </w:r>
      <w:proofErr w:type="spellEnd"/>
      <w:r>
        <w:rPr>
          <w:rFonts w:ascii="Calibri" w:eastAsia="Calibri" w:hAnsi="Calibri" w:cs="Calibri"/>
          <w:sz w:val="22"/>
          <w:szCs w:val="22"/>
          <w:lang w:val="en-US"/>
        </w:rPr>
        <w:t xml:space="preserve"> ......................................................................................................................... </w:t>
      </w:r>
      <w:proofErr w:type="spellStart"/>
      <w:r>
        <w:rPr>
          <w:rFonts w:ascii="Calibri" w:eastAsia="Calibri" w:hAnsi="Calibri" w:cs="Calibri"/>
          <w:sz w:val="22"/>
          <w:szCs w:val="22"/>
          <w:lang w:val="en-US"/>
        </w:rPr>
        <w:t>Lettre</w:t>
      </w:r>
      <w:proofErr w:type="spellEnd"/>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d’Autorisation</w:t>
      </w:r>
      <w:proofErr w:type="spellEnd"/>
      <w:r>
        <w:br/>
      </w:r>
      <w:r>
        <w:rPr>
          <w:rFonts w:ascii="Calibri" w:eastAsia="Calibri" w:hAnsi="Calibri" w:cs="Calibri"/>
          <w:sz w:val="22"/>
          <w:szCs w:val="22"/>
          <w:lang w:val="en-US"/>
        </w:rPr>
        <w:t xml:space="preserve">MAE ................................................................................................... Ministère des Affaires </w:t>
      </w:r>
      <w:proofErr w:type="spellStart"/>
      <w:r>
        <w:rPr>
          <w:rFonts w:ascii="Calibri" w:eastAsia="Calibri" w:hAnsi="Calibri" w:cs="Calibri"/>
          <w:sz w:val="22"/>
          <w:szCs w:val="22"/>
          <w:lang w:val="en-US"/>
        </w:rPr>
        <w:t>étrangères</w:t>
      </w:r>
      <w:proofErr w:type="spellEnd"/>
    </w:p>
    <w:p w14:paraId="666B2441"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lang w:val="en-US"/>
        </w:rPr>
        <w:t xml:space="preserve">MEF ............................................................................................ </w:t>
      </w:r>
      <w:proofErr w:type="spellStart"/>
      <w:r>
        <w:rPr>
          <w:rFonts w:ascii="Calibri" w:eastAsia="Calibri" w:hAnsi="Calibri" w:cs="Calibri"/>
          <w:sz w:val="22"/>
          <w:szCs w:val="22"/>
          <w:lang w:val="en-US"/>
        </w:rPr>
        <w:t>Ministere</w:t>
      </w:r>
      <w:proofErr w:type="spellEnd"/>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l’Economie</w:t>
      </w:r>
      <w:proofErr w:type="spellEnd"/>
      <w:r>
        <w:rPr>
          <w:rFonts w:ascii="Calibri" w:eastAsia="Calibri" w:hAnsi="Calibri" w:cs="Calibri"/>
          <w:sz w:val="22"/>
          <w:szCs w:val="22"/>
          <w:lang w:val="en-US"/>
        </w:rPr>
        <w:t xml:space="preserve"> et des </w:t>
      </w:r>
      <w:proofErr w:type="spellStart"/>
      <w:r>
        <w:rPr>
          <w:rFonts w:ascii="Calibri" w:eastAsia="Calibri" w:hAnsi="Calibri" w:cs="Calibri"/>
          <w:sz w:val="22"/>
          <w:szCs w:val="22"/>
          <w:lang w:val="en-US"/>
        </w:rPr>
        <w:t>FInances</w:t>
      </w:r>
      <w:proofErr w:type="spellEnd"/>
      <w:r>
        <w:t xml:space="preserve"> </w:t>
      </w:r>
      <w:r>
        <w:br/>
      </w:r>
      <w:proofErr w:type="spellStart"/>
      <w:r>
        <w:rPr>
          <w:rFonts w:ascii="Calibri" w:eastAsia="Calibri" w:hAnsi="Calibri" w:cs="Calibri"/>
          <w:sz w:val="22"/>
          <w:szCs w:val="22"/>
          <w:lang w:val="en-US"/>
        </w:rPr>
        <w:t>MdE</w:t>
      </w:r>
      <w:proofErr w:type="spellEnd"/>
      <w:r>
        <w:rPr>
          <w:rFonts w:ascii="Calibri" w:eastAsia="Calibri" w:hAnsi="Calibri" w:cs="Calibri"/>
          <w:sz w:val="22"/>
          <w:szCs w:val="22"/>
          <w:lang w:val="en-US"/>
        </w:rPr>
        <w:t xml:space="preserve"> ......................................................................................................... Ministère de </w:t>
      </w:r>
      <w:proofErr w:type="spellStart"/>
      <w:r>
        <w:rPr>
          <w:rFonts w:ascii="Calibri" w:eastAsia="Calibri" w:hAnsi="Calibri" w:cs="Calibri"/>
          <w:sz w:val="22"/>
          <w:szCs w:val="22"/>
          <w:lang w:val="en-US"/>
        </w:rPr>
        <w:t>l’Environnement</w:t>
      </w:r>
      <w:proofErr w:type="spellEnd"/>
      <w:r>
        <w:br/>
      </w:r>
      <w:r>
        <w:rPr>
          <w:rFonts w:ascii="Calibri" w:eastAsia="Calibri" w:hAnsi="Calibri" w:cs="Calibri"/>
          <w:sz w:val="22"/>
          <w:szCs w:val="22"/>
          <w:lang w:val="en-US"/>
        </w:rPr>
        <w:t>MRV ..................................................................................... Measurement, Reporting and Verification</w:t>
      </w:r>
      <w:r>
        <w:br/>
      </w:r>
      <w:r>
        <w:rPr>
          <w:rFonts w:ascii="Calibri" w:eastAsia="Calibri" w:hAnsi="Calibri" w:cs="Calibri"/>
          <w:sz w:val="22"/>
          <w:szCs w:val="22"/>
          <w:lang w:val="en-US"/>
        </w:rPr>
        <w:t>NDC ............................................................................................... Nationally Determined Contribution</w:t>
      </w:r>
      <w:r>
        <w:br/>
      </w:r>
      <w:r>
        <w:rPr>
          <w:rFonts w:ascii="Calibri" w:eastAsia="Calibri" w:hAnsi="Calibri" w:cs="Calibri"/>
          <w:sz w:val="22"/>
          <w:szCs w:val="22"/>
          <w:lang w:val="en-US"/>
        </w:rPr>
        <w:t>NPV ............................................................................................................................ Net Present Value</w:t>
      </w:r>
      <w:r>
        <w:br/>
      </w:r>
      <w:r>
        <w:rPr>
          <w:rFonts w:ascii="Calibri" w:eastAsia="Calibri" w:hAnsi="Calibri" w:cs="Calibri"/>
          <w:sz w:val="22"/>
          <w:szCs w:val="22"/>
          <w:lang w:val="en-US"/>
        </w:rPr>
        <w:t>OPEX ................................................................................................................. Operating Expenditures</w:t>
      </w:r>
      <w:r>
        <w:br/>
      </w:r>
      <w:r>
        <w:rPr>
          <w:rFonts w:ascii="Calibri" w:eastAsia="Calibri" w:hAnsi="Calibri" w:cs="Calibri"/>
          <w:sz w:val="22"/>
          <w:szCs w:val="22"/>
          <w:lang w:val="en-US"/>
        </w:rPr>
        <w:lastRenderedPageBreak/>
        <w:t xml:space="preserve">PDD ................................................................................................................ Project Design Document </w:t>
      </w:r>
      <w:r>
        <w:br/>
      </w:r>
      <w:r>
        <w:rPr>
          <w:rFonts w:ascii="Calibri" w:eastAsia="Calibri" w:hAnsi="Calibri" w:cs="Calibri"/>
          <w:sz w:val="22"/>
          <w:szCs w:val="22"/>
        </w:rPr>
        <w:t>PSE ......................................................................................... Paiements pour services écosystémiques</w:t>
      </w:r>
    </w:p>
    <w:p w14:paraId="375ACFA5"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PV ...................................................................................................................................... Procès-verbal</w:t>
      </w:r>
    </w:p>
    <w:p w14:paraId="31DCB459"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 xml:space="preserve">QA/QC ............................................................................................ </w:t>
      </w:r>
      <w:proofErr w:type="spellStart"/>
      <w:r>
        <w:rPr>
          <w:rFonts w:ascii="Calibri" w:eastAsia="Calibri" w:hAnsi="Calibri" w:cs="Calibri"/>
          <w:sz w:val="22"/>
          <w:szCs w:val="22"/>
        </w:rPr>
        <w:t>Quality</w:t>
      </w:r>
      <w:proofErr w:type="spellEnd"/>
      <w:r>
        <w:rPr>
          <w:rFonts w:ascii="Calibri" w:eastAsia="Calibri" w:hAnsi="Calibri" w:cs="Calibri"/>
          <w:sz w:val="22"/>
          <w:szCs w:val="22"/>
        </w:rPr>
        <w:t xml:space="preserve"> Assurance / </w:t>
      </w:r>
      <w:proofErr w:type="spellStart"/>
      <w:r>
        <w:rPr>
          <w:rFonts w:ascii="Calibri" w:eastAsia="Calibri" w:hAnsi="Calibri" w:cs="Calibri"/>
          <w:sz w:val="22"/>
          <w:szCs w:val="22"/>
        </w:rPr>
        <w:t>Quality</w:t>
      </w:r>
      <w:proofErr w:type="spellEnd"/>
      <w:r>
        <w:rPr>
          <w:rFonts w:ascii="Calibri" w:eastAsia="Calibri" w:hAnsi="Calibri" w:cs="Calibri"/>
          <w:sz w:val="22"/>
          <w:szCs w:val="22"/>
        </w:rPr>
        <w:t xml:space="preserve"> Control</w:t>
      </w:r>
    </w:p>
    <w:p w14:paraId="7AFF9824"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 xml:space="preserve">SIDS ....................................................................................................... Small Island </w:t>
      </w:r>
      <w:proofErr w:type="spellStart"/>
      <w:r>
        <w:rPr>
          <w:rFonts w:ascii="Calibri" w:eastAsia="Calibri" w:hAnsi="Calibri" w:cs="Calibri"/>
          <w:sz w:val="22"/>
          <w:szCs w:val="22"/>
        </w:rPr>
        <w:t>Developing</w:t>
      </w:r>
      <w:proofErr w:type="spellEnd"/>
      <w:r>
        <w:rPr>
          <w:rFonts w:ascii="Calibri" w:eastAsia="Calibri" w:hAnsi="Calibri" w:cs="Calibri"/>
          <w:sz w:val="22"/>
          <w:szCs w:val="22"/>
        </w:rPr>
        <w:t xml:space="preserve"> States</w:t>
      </w:r>
    </w:p>
    <w:p w14:paraId="3A7C86CD"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SLA ........................................................ L’établissement de délais indicatifs (Service Level Agreement)</w:t>
      </w:r>
    </w:p>
    <w:p w14:paraId="564C4BB3"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 xml:space="preserve">SOP ....................................................................................................... Standard Operating </w:t>
      </w:r>
      <w:proofErr w:type="spellStart"/>
      <w:r>
        <w:rPr>
          <w:rFonts w:ascii="Calibri" w:eastAsia="Calibri" w:hAnsi="Calibri" w:cs="Calibri"/>
          <w:sz w:val="22"/>
          <w:szCs w:val="22"/>
        </w:rPr>
        <w:t>Procedures</w:t>
      </w:r>
      <w:proofErr w:type="spellEnd"/>
    </w:p>
    <w:p w14:paraId="4800FB14"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UE ............................................................................................................................. Union européenne</w:t>
      </w:r>
    </w:p>
    <w:p w14:paraId="68ACFB11" w14:textId="77777777" w:rsidR="00401C82" w:rsidRDefault="00000000">
      <w:pPr>
        <w:spacing w:before="60" w:line="259" w:lineRule="auto"/>
        <w:rPr>
          <w:rFonts w:ascii="Calibri" w:eastAsia="Calibri" w:hAnsi="Calibri" w:cs="Calibri"/>
          <w:sz w:val="22"/>
          <w:szCs w:val="22"/>
        </w:rPr>
      </w:pPr>
      <w:r>
        <w:rPr>
          <w:rFonts w:ascii="Calibri" w:eastAsia="Calibri" w:hAnsi="Calibri" w:cs="Calibri"/>
          <w:sz w:val="22"/>
          <w:szCs w:val="22"/>
        </w:rPr>
        <w:t xml:space="preserve">VCM ............................................................................................................... </w:t>
      </w:r>
      <w:proofErr w:type="spellStart"/>
      <w:r>
        <w:rPr>
          <w:rFonts w:ascii="Calibri" w:eastAsia="Calibri" w:hAnsi="Calibri" w:cs="Calibri"/>
          <w:sz w:val="22"/>
          <w:szCs w:val="22"/>
        </w:rPr>
        <w:t>Voluntary</w:t>
      </w:r>
      <w:proofErr w:type="spellEnd"/>
      <w:r>
        <w:rPr>
          <w:rFonts w:ascii="Calibri" w:eastAsia="Calibri" w:hAnsi="Calibri" w:cs="Calibri"/>
          <w:sz w:val="22"/>
          <w:szCs w:val="22"/>
        </w:rPr>
        <w:t xml:space="preserve"> Carbon Market</w:t>
      </w:r>
    </w:p>
    <w:p w14:paraId="4F289BFC" w14:textId="77777777" w:rsidR="00401C82" w:rsidRDefault="00401C82">
      <w:pPr>
        <w:spacing w:before="60"/>
        <w:outlineLvl w:val="0"/>
        <w:rPr>
          <w:rFonts w:asciiTheme="minorHAnsi" w:hAnsiTheme="minorHAnsi" w:cstheme="minorBidi"/>
          <w:sz w:val="22"/>
          <w:szCs w:val="22"/>
        </w:rPr>
      </w:pPr>
    </w:p>
    <w:p w14:paraId="63F4E019" w14:textId="77777777" w:rsidR="00401C82" w:rsidRDefault="00401C82">
      <w:pPr>
        <w:spacing w:before="60"/>
        <w:outlineLvl w:val="0"/>
        <w:rPr>
          <w:rFonts w:asciiTheme="minorHAnsi" w:hAnsiTheme="minorHAnsi" w:cstheme="minorBidi"/>
          <w:sz w:val="22"/>
          <w:szCs w:val="22"/>
        </w:rPr>
      </w:pPr>
    </w:p>
    <w:p w14:paraId="4445F8D9"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 xml:space="preserve">Contexte et justification du besoin </w:t>
      </w:r>
    </w:p>
    <w:p w14:paraId="4B686789" w14:textId="77777777" w:rsidR="00401C82" w:rsidRDefault="00401C82">
      <w:pPr>
        <w:rPr>
          <w:rFonts w:asciiTheme="minorHAnsi" w:hAnsiTheme="minorHAnsi" w:cstheme="minorHAnsi"/>
          <w:sz w:val="22"/>
          <w:szCs w:val="22"/>
        </w:rPr>
      </w:pPr>
    </w:p>
    <w:p w14:paraId="7F58D047"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u w:val="single"/>
        </w:rPr>
        <w:t>Programme EUROCLIMA en Haïti</w:t>
      </w:r>
    </w:p>
    <w:p w14:paraId="0D3B2803"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 xml:space="preserve">Haïti dispose d’un potentiel stratégique significatif pour mobiliser des financements climatiques internationaux, en particulier à travers la restauration, la conservation et la gestion durable de ses écosystèmes de mangroves. Ces écosystèmes constituent à la fois des puits de carbone à haute intégrité (« </w:t>
      </w:r>
      <w:proofErr w:type="spellStart"/>
      <w:r>
        <w:rPr>
          <w:rFonts w:asciiTheme="minorHAnsi" w:hAnsiTheme="minorHAnsi" w:cstheme="minorBidi"/>
          <w:sz w:val="22"/>
          <w:szCs w:val="22"/>
        </w:rPr>
        <w:t>blue</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carbon</w:t>
      </w:r>
      <w:proofErr w:type="spellEnd"/>
      <w:r>
        <w:rPr>
          <w:rFonts w:asciiTheme="minorHAnsi" w:hAnsiTheme="minorHAnsi" w:cstheme="minorBidi"/>
          <w:sz w:val="22"/>
          <w:szCs w:val="22"/>
        </w:rPr>
        <w:t xml:space="preserve"> »), des infrastructures naturelles de protection côtière contre les aléas climatiques, et des socles essentiels de subsistance pour les communautés littorales (pêche, protection des terres agricoles, régulations).</w:t>
      </w:r>
    </w:p>
    <w:p w14:paraId="317AA414"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Dans un contexte marqué par une vulnérabilité climatique élevée, une pression foncière importante sur les zones côtières et une fragilité institutionnelle persistante, la structuration de projets carbone crédibles représente une opportunité structurante pour renforcer la résilience nationale tout en mobilisant des flux financiers additionnels, pérennes et orientés résultats.</w:t>
      </w:r>
    </w:p>
    <w:p w14:paraId="48F55474"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Le Gouvernement haïtien, à travers sa Contribution Déterminée au niveau National (CDN 2.0 révisée en 2022 et préparation de la CDN 3.0 pour 2026 avec des consultations en cours), a explicitement identifié la restauration des mangroves comme un pilier prioritaire de sa stratégie d’atténuation, d’adaptation et de résilience côtière. Toutefois, malgré l’existence de données biophysiques en cours de consolidation, d’initiatives pilotes et d’appuis techniques sectoriels, Haïti ne dispose pas à ce stade d’un cadre juridico-institutionnel, financier et opérationnel permettant un accès structuré, sécurisé et crédible aux marchés carbones volontaires et aux mécanismes de l’Article 6 de l’Accord de Paris.</w:t>
      </w:r>
    </w:p>
    <w:p w14:paraId="06B5C108"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Dans ce contexte, le programme EUROCLIMA, mis en œuvre par Expertise France en Haïti, vise à combler ces lacunes en finançant des diagnostics stratégiques, des cadres de gouvernance et des études de structuration financière permettant de traduire l’ambition nationale en un portefeuille de projets carbone bancables, alignés à la fois sur l’Accord de Paris et sur le Global Gateway Investment Agenda (GGIA) de l’Union européenne.</w:t>
      </w:r>
    </w:p>
    <w:p w14:paraId="05BB100C" w14:textId="77777777" w:rsidR="00401C82" w:rsidRDefault="00401C82">
      <w:pPr>
        <w:pStyle w:val="Paragraphedeliste2"/>
        <w:spacing w:after="200" w:line="276" w:lineRule="auto"/>
        <w:ind w:left="0"/>
        <w:contextualSpacing/>
        <w:rPr>
          <w:rFonts w:asciiTheme="minorHAnsi" w:hAnsiTheme="minorHAnsi" w:cstheme="minorHAnsi"/>
          <w:sz w:val="22"/>
          <w:szCs w:val="22"/>
        </w:rPr>
      </w:pPr>
    </w:p>
    <w:p w14:paraId="7463626A" w14:textId="77777777" w:rsidR="00401C82" w:rsidRDefault="00000000">
      <w:pPr>
        <w:pStyle w:val="Paragraphedeliste2"/>
        <w:spacing w:before="40" w:after="200"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lastRenderedPageBreak/>
        <w:t xml:space="preserve">Le </w:t>
      </w:r>
      <w:proofErr w:type="gramStart"/>
      <w:r>
        <w:rPr>
          <w:rFonts w:asciiTheme="minorHAnsi" w:hAnsiTheme="minorHAnsi" w:cstheme="minorBidi"/>
          <w:sz w:val="22"/>
          <w:szCs w:val="22"/>
        </w:rPr>
        <w:t>Ministère de l’Environnement</w:t>
      </w:r>
      <w:proofErr w:type="gramEnd"/>
      <w:r>
        <w:rPr>
          <w:rFonts w:asciiTheme="minorHAnsi" w:hAnsiTheme="minorHAnsi" w:cstheme="minorBidi"/>
          <w:sz w:val="22"/>
          <w:szCs w:val="22"/>
        </w:rPr>
        <w:t xml:space="preserve"> d’Haïti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a officiellement sollicité l’Union européenne pour la réalisation d’une étude de faisabilité sur les marchés carbone, en mettant explicitement l’accent sur la restauration et la protection des mangroves, en cohérence avec les priorités de la CDN. La Délégation de l’Union européenne en Haïti a confirmé la mobilisation du programme EUROCLIMA pour financer ces travaux et a désigné un point focal afin de conduire le Dialogue Pays Haïti–EUROCLIMA.</w:t>
      </w:r>
      <w:r>
        <w:br/>
      </w:r>
      <w:r>
        <w:br/>
      </w:r>
      <w:r>
        <w:rPr>
          <w:rFonts w:asciiTheme="minorHAnsi" w:hAnsiTheme="minorHAnsi" w:cstheme="minorBidi"/>
          <w:sz w:val="22"/>
          <w:szCs w:val="22"/>
        </w:rPr>
        <w:t xml:space="preserve">Les échanges techniques conduits avec la DUE, le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le Bureau de l’Ordonnateur National, Expertise France et les partenaires nationaux ont permis de converger vers trois priorités opérationnelles structurantes :</w:t>
      </w:r>
      <w:r>
        <w:br/>
      </w:r>
      <w:r>
        <w:br/>
      </w:r>
      <w:r>
        <w:rPr>
          <w:rFonts w:asciiTheme="minorHAnsi" w:hAnsiTheme="minorHAnsi" w:cstheme="minorBidi"/>
          <w:b/>
          <w:bCs/>
          <w:sz w:val="22"/>
          <w:szCs w:val="22"/>
        </w:rPr>
        <w:t xml:space="preserve">a) l’élaboration d’une feuille de route nationale technique et financière « mangroves – </w:t>
      </w:r>
      <w:r>
        <w:tab/>
      </w:r>
      <w:r>
        <w:rPr>
          <w:rFonts w:asciiTheme="minorHAnsi" w:hAnsiTheme="minorHAnsi" w:cstheme="minorBidi"/>
          <w:b/>
          <w:bCs/>
          <w:sz w:val="22"/>
          <w:szCs w:val="22"/>
        </w:rPr>
        <w:t xml:space="preserve">carbone bleu», </w:t>
      </w:r>
      <w:r>
        <w:rPr>
          <w:rFonts w:asciiTheme="minorHAnsi" w:hAnsiTheme="minorHAnsi" w:cstheme="minorBidi"/>
          <w:sz w:val="22"/>
          <w:szCs w:val="22"/>
        </w:rPr>
        <w:t>intégrant les dimensions MRV, juridiques, et de partage des</w:t>
      </w:r>
      <w:r>
        <w:tab/>
      </w:r>
      <w:r>
        <w:rPr>
          <w:rFonts w:asciiTheme="minorHAnsi" w:hAnsiTheme="minorHAnsi" w:cstheme="minorBidi"/>
          <w:sz w:val="22"/>
          <w:szCs w:val="22"/>
        </w:rPr>
        <w:t>bénéfices ;</w:t>
      </w:r>
    </w:p>
    <w:p w14:paraId="23C37658" w14:textId="77777777" w:rsidR="00401C82" w:rsidRDefault="00401C82">
      <w:pPr>
        <w:pStyle w:val="Paragraphedeliste2"/>
        <w:spacing w:after="200" w:line="276" w:lineRule="auto"/>
        <w:ind w:left="0"/>
        <w:contextualSpacing/>
        <w:jc w:val="both"/>
        <w:rPr>
          <w:rFonts w:asciiTheme="minorHAnsi" w:hAnsiTheme="minorHAnsi" w:cstheme="minorBidi"/>
          <w:sz w:val="22"/>
          <w:szCs w:val="22"/>
        </w:rPr>
      </w:pPr>
    </w:p>
    <w:p w14:paraId="1C9FCEEF" w14:textId="77777777" w:rsidR="00401C82" w:rsidRDefault="00000000">
      <w:pPr>
        <w:pStyle w:val="Paragraphedeliste2"/>
        <w:spacing w:before="40" w:after="200"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b) la conception d’un registre national simplifié et d’une procédure d’autorisation des transferts de résultats d’atténuation internationaux (ITMO) au titre de l’Article 6.2, incluant une Lettre d’Autorisation-type ;</w:t>
      </w:r>
    </w:p>
    <w:p w14:paraId="39D26CCF" w14:textId="77777777" w:rsidR="00401C82" w:rsidRDefault="00401C82">
      <w:pPr>
        <w:pStyle w:val="Paragraphedeliste2"/>
        <w:spacing w:before="40" w:after="200" w:line="276" w:lineRule="auto"/>
        <w:ind w:left="0"/>
        <w:contextualSpacing/>
        <w:jc w:val="both"/>
        <w:rPr>
          <w:rFonts w:asciiTheme="minorHAnsi" w:hAnsiTheme="minorHAnsi" w:cstheme="minorBidi"/>
          <w:sz w:val="22"/>
          <w:szCs w:val="22"/>
        </w:rPr>
      </w:pPr>
    </w:p>
    <w:p w14:paraId="58A50DB3" w14:textId="77777777" w:rsidR="00401C82" w:rsidRDefault="00000000">
      <w:pPr>
        <w:pStyle w:val="Paragraphedeliste2"/>
        <w:spacing w:before="40" w:after="200"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 xml:space="preserve">c) la structuration d’un modèle de financement hybride permettant de rendre les projets de restauration de mangroves bancables, en articulation avec le Fonds Haïtien pour la Biodiversité (FHB) et les guichets internationaux pertinents (notamment PROBLUE, FVC </w:t>
      </w:r>
      <w:proofErr w:type="spellStart"/>
      <w:r>
        <w:rPr>
          <w:rFonts w:asciiTheme="minorHAnsi" w:hAnsiTheme="minorHAnsi" w:cstheme="minorBidi"/>
          <w:sz w:val="22"/>
          <w:szCs w:val="22"/>
        </w:rPr>
        <w:t>Readiness</w:t>
      </w:r>
      <w:proofErr w:type="spellEnd"/>
      <w:r>
        <w:rPr>
          <w:rFonts w:asciiTheme="minorHAnsi" w:hAnsiTheme="minorHAnsi" w:cstheme="minorBidi"/>
          <w:sz w:val="22"/>
          <w:szCs w:val="22"/>
        </w:rPr>
        <w:t>).</w:t>
      </w:r>
    </w:p>
    <w:p w14:paraId="4F0B7753" w14:textId="77777777" w:rsidR="00401C82" w:rsidRDefault="00000000">
      <w:pPr>
        <w:pStyle w:val="Paragraphedeliste2"/>
        <w:spacing w:after="200" w:line="276" w:lineRule="auto"/>
        <w:ind w:left="0"/>
        <w:contextualSpacing/>
        <w:jc w:val="both"/>
      </w:pPr>
      <w:r>
        <w:br/>
      </w:r>
      <w:r>
        <w:rPr>
          <w:rFonts w:asciiTheme="minorHAnsi" w:hAnsiTheme="minorHAnsi" w:cstheme="minorBidi"/>
          <w:sz w:val="22"/>
          <w:szCs w:val="22"/>
        </w:rPr>
        <w:t>Ces priorités s’inscrivent dans une dynamique déjà existante (étude UE de cartographie et d’éligibilité technique des mangroves, premiers financements pilotes du FHB, initiatives régionales CBF/CRAB), mais demeurent freinées par l’absence de cadres transversaux cohérents permettant de convertir les actifs naturels identifiés en projets carbone finançables et monétisables à l’échelle internationale.</w:t>
      </w:r>
      <w:r>
        <w:br/>
      </w:r>
    </w:p>
    <w:p w14:paraId="05ED8931"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 xml:space="preserve">Le présent appel d’offres vise à répondre directement à ces contraintes en structurant, au sein d’un marché unique, trois sous-actions techniquement cohérentes, séquentielles et cumulatives, constituant ensemble le socle opérationnel d’un programme national « </w:t>
      </w:r>
      <w:proofErr w:type="spellStart"/>
      <w:r>
        <w:rPr>
          <w:rFonts w:asciiTheme="minorHAnsi" w:hAnsiTheme="minorHAnsi" w:cstheme="minorBidi"/>
          <w:sz w:val="22"/>
          <w:szCs w:val="22"/>
        </w:rPr>
        <w:t>blue</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carbon</w:t>
      </w:r>
      <w:proofErr w:type="spellEnd"/>
      <w:r>
        <w:rPr>
          <w:rFonts w:asciiTheme="minorHAnsi" w:hAnsiTheme="minorHAnsi" w:cstheme="minorBidi"/>
          <w:sz w:val="22"/>
          <w:szCs w:val="22"/>
        </w:rPr>
        <w:t xml:space="preserve"> » à haute intégrité.</w:t>
      </w:r>
      <w:r>
        <w:br/>
      </w:r>
      <w:r>
        <w:br/>
      </w:r>
      <w:r>
        <w:rPr>
          <w:rFonts w:asciiTheme="minorHAnsi" w:hAnsiTheme="minorHAnsi" w:cstheme="minorBidi"/>
          <w:sz w:val="22"/>
          <w:szCs w:val="22"/>
        </w:rPr>
        <w:t>Malgré une base technique et institutionnelle émergente, plusieurs lacunes structurelles empêchent à ce stade la transformation rapide des opportunités identifiées en projets carbone finançables avant 2030 :</w:t>
      </w:r>
      <w:r>
        <w:br/>
      </w:r>
      <w:r>
        <w:br/>
      </w:r>
      <w:r>
        <w:rPr>
          <w:rFonts w:asciiTheme="minorHAnsi" w:hAnsiTheme="minorHAnsi" w:cstheme="minorBidi"/>
          <w:b/>
          <w:bCs/>
          <w:sz w:val="22"/>
          <w:szCs w:val="22"/>
        </w:rPr>
        <w:t>a) Gouvernance carbone et Article 6</w:t>
      </w:r>
    </w:p>
    <w:p w14:paraId="04B4CEB5" w14:textId="77777777" w:rsidR="00401C82" w:rsidRDefault="00401C82">
      <w:pPr>
        <w:pStyle w:val="Paragraphedeliste2"/>
        <w:spacing w:after="200" w:line="276" w:lineRule="auto"/>
        <w:ind w:left="0"/>
        <w:contextualSpacing/>
        <w:jc w:val="both"/>
        <w:rPr>
          <w:rFonts w:asciiTheme="minorHAnsi" w:hAnsiTheme="minorHAnsi" w:cstheme="minorBidi"/>
          <w:b/>
          <w:bCs/>
          <w:sz w:val="22"/>
          <w:szCs w:val="22"/>
        </w:rPr>
      </w:pPr>
    </w:p>
    <w:p w14:paraId="276AA82F"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Absence d’un dispositif opérationnel, traçable et auditable pour autoriser, enregistrer et sécuriser les transferts d’ITMO, limitant la capacité de négociation bilatérale de l’État haïtien et exposant les futurs projets aux risques de double comptage et de non-conformité internationale.</w:t>
      </w:r>
      <w:r>
        <w:br/>
      </w:r>
      <w:r>
        <w:br/>
      </w:r>
      <w:r>
        <w:rPr>
          <w:rFonts w:asciiTheme="minorHAnsi" w:hAnsiTheme="minorHAnsi" w:cstheme="minorBidi"/>
          <w:b/>
          <w:bCs/>
          <w:sz w:val="22"/>
          <w:szCs w:val="22"/>
        </w:rPr>
        <w:t>b) Tenure foncière, droits d’usage et partage des bénéfices</w:t>
      </w:r>
    </w:p>
    <w:p w14:paraId="41C2CFEB"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lastRenderedPageBreak/>
        <w:br/>
      </w:r>
      <w:r>
        <w:rPr>
          <w:rFonts w:asciiTheme="minorHAnsi" w:hAnsiTheme="minorHAnsi" w:cstheme="minorBidi"/>
          <w:sz w:val="22"/>
          <w:szCs w:val="22"/>
        </w:rPr>
        <w:t>Incertitudes foncières sur les zones de mangroves, absence de cadres contractuels standardisés (cogestion, accords communautaires, clauses de partage des revenus carbone), fragilisant l’acceptabilité sociale, la sécurité juridique des projets et l’appétit des investisseurs et acheteurs.</w:t>
      </w:r>
      <w:r>
        <w:br/>
      </w:r>
      <w:r>
        <w:br/>
      </w:r>
      <w:r>
        <w:rPr>
          <w:rFonts w:asciiTheme="minorHAnsi" w:hAnsiTheme="minorHAnsi" w:cstheme="minorBidi"/>
          <w:b/>
          <w:bCs/>
          <w:sz w:val="22"/>
          <w:szCs w:val="22"/>
        </w:rPr>
        <w:t>c) MRV et intégrité environnementale</w:t>
      </w:r>
    </w:p>
    <w:p w14:paraId="69AF30BA" w14:textId="77777777" w:rsidR="00401C82" w:rsidRDefault="00000000">
      <w:pPr>
        <w:pStyle w:val="Paragraphedeliste2"/>
        <w:spacing w:after="200" w:line="276" w:lineRule="auto"/>
        <w:ind w:left="0"/>
        <w:contextualSpacing/>
        <w:jc w:val="both"/>
        <w:rPr>
          <w:rFonts w:asciiTheme="minorHAnsi" w:hAnsiTheme="minorHAnsi" w:cstheme="minorBidi"/>
        </w:rPr>
      </w:pPr>
      <w:r>
        <w:br/>
      </w:r>
      <w:r>
        <w:rPr>
          <w:rFonts w:asciiTheme="minorHAnsi" w:hAnsiTheme="minorHAnsi" w:cstheme="minorBidi"/>
          <w:sz w:val="22"/>
          <w:szCs w:val="22"/>
        </w:rPr>
        <w:t>Besoin de consolider les capacités MRV nationales et de définir des protocoles compatibles avec les exigences des standards carbone (volontaire et Article 6), les exigences de transparence et les calendriers d’émission et de monétisation.</w:t>
      </w:r>
    </w:p>
    <w:p w14:paraId="00ED3EEB" w14:textId="069323C1" w:rsidR="00401C82" w:rsidRDefault="00000000">
      <w:pPr>
        <w:pStyle w:val="Paragraphedeliste2"/>
        <w:spacing w:after="200" w:line="276" w:lineRule="auto"/>
        <w:ind w:left="0"/>
        <w:contextualSpacing/>
        <w:jc w:val="both"/>
        <w:rPr>
          <w:rFonts w:asciiTheme="minorHAnsi" w:hAnsiTheme="minorHAnsi" w:cstheme="minorBidi"/>
          <w:sz w:val="22"/>
          <w:szCs w:val="22"/>
        </w:rPr>
      </w:pPr>
      <w:r>
        <w:br/>
      </w:r>
      <w:r>
        <w:rPr>
          <w:rFonts w:asciiTheme="minorHAnsi" w:hAnsiTheme="minorHAnsi" w:cstheme="minorBidi"/>
          <w:b/>
          <w:bCs/>
          <w:sz w:val="22"/>
          <w:szCs w:val="22"/>
        </w:rPr>
        <w:t>d) Modèle économique et structure financière</w:t>
      </w:r>
    </w:p>
    <w:p w14:paraId="28936DB4" w14:textId="77777777" w:rsidR="00401C82" w:rsidRDefault="00000000">
      <w:pPr>
        <w:pStyle w:val="Paragraphedeliste2"/>
        <w:spacing w:after="200"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 xml:space="preserve">Dépendance quasi exclusive aux subventions publiques, en l’absence de modèles de financement hybrides robustes intégrant crédits carbone (VCM/Article 6), paiements pour services écosystémiques (PSE), scénarios de revenus, mécanismes de partage des risques et </w:t>
      </w:r>
      <w:proofErr w:type="spellStart"/>
      <w:r>
        <w:rPr>
          <w:rFonts w:asciiTheme="minorHAnsi" w:hAnsiTheme="minorHAnsi" w:cstheme="minorBidi"/>
          <w:sz w:val="22"/>
          <w:szCs w:val="22"/>
        </w:rPr>
        <w:t>term-sheets</w:t>
      </w:r>
      <w:proofErr w:type="spellEnd"/>
      <w:r>
        <w:rPr>
          <w:rFonts w:asciiTheme="minorHAnsi" w:hAnsiTheme="minorHAnsi" w:cstheme="minorBidi"/>
          <w:sz w:val="22"/>
          <w:szCs w:val="22"/>
        </w:rPr>
        <w:t xml:space="preserve"> précontractuels.</w:t>
      </w:r>
    </w:p>
    <w:p w14:paraId="3AE44BF0" w14:textId="77777777" w:rsidR="00401C82" w:rsidRDefault="00401C82">
      <w:pPr>
        <w:spacing w:after="200" w:line="276" w:lineRule="auto"/>
        <w:contextualSpacing/>
        <w:rPr>
          <w:rFonts w:asciiTheme="minorHAnsi" w:hAnsiTheme="minorHAnsi" w:cstheme="minorBidi"/>
          <w:sz w:val="22"/>
          <w:szCs w:val="22"/>
        </w:rPr>
      </w:pPr>
    </w:p>
    <w:p w14:paraId="63420858" w14:textId="77777777" w:rsidR="00401C82" w:rsidRDefault="00000000">
      <w:pPr>
        <w:numPr>
          <w:ilvl w:val="0"/>
          <w:numId w:val="31"/>
        </w:numPr>
        <w:shd w:val="clear" w:color="auto" w:fill="E6E6E6"/>
        <w:tabs>
          <w:tab w:val="clear" w:pos="720"/>
          <w:tab w:val="num" w:pos="180"/>
        </w:tabs>
        <w:spacing w:line="259" w:lineRule="auto"/>
        <w:ind w:left="180"/>
        <w:rPr>
          <w:rFonts w:ascii="Calibri" w:eastAsia="Calibri" w:hAnsi="Calibri" w:cs="Calibri"/>
          <w:sz w:val="22"/>
          <w:szCs w:val="22"/>
        </w:rPr>
      </w:pPr>
      <w:r>
        <w:rPr>
          <w:rFonts w:asciiTheme="minorHAnsi" w:eastAsia="Arial Unicode MS" w:hAnsiTheme="minorHAnsi" w:cstheme="minorBidi"/>
          <w:b/>
          <w:bCs/>
          <w:sz w:val="22"/>
          <w:szCs w:val="22"/>
          <w:lang w:eastAsia="en-US"/>
        </w:rPr>
        <w:t>Objectifs et résultats attendus</w:t>
      </w:r>
    </w:p>
    <w:p w14:paraId="77470B81" w14:textId="77777777" w:rsidR="00401C82" w:rsidRDefault="00401C82">
      <w:pPr>
        <w:rPr>
          <w:rFonts w:asciiTheme="minorHAnsi" w:hAnsiTheme="minorHAnsi" w:cstheme="minorHAnsi"/>
          <w:sz w:val="22"/>
          <w:szCs w:val="22"/>
        </w:rPr>
      </w:pPr>
    </w:p>
    <w:p w14:paraId="7B915782" w14:textId="77777777" w:rsidR="00401C82" w:rsidRDefault="00000000">
      <w:pPr>
        <w:numPr>
          <w:ilvl w:val="1"/>
          <w:numId w:val="31"/>
        </w:numPr>
        <w:tabs>
          <w:tab w:val="clear" w:pos="1440"/>
          <w:tab w:val="num" w:pos="900"/>
        </w:tabs>
        <w:ind w:left="90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 xml:space="preserve">Objectif général </w:t>
      </w:r>
    </w:p>
    <w:p w14:paraId="11D71BFA" w14:textId="77777777" w:rsidR="00401C82" w:rsidRDefault="00401C82">
      <w:pPr>
        <w:rPr>
          <w:rFonts w:asciiTheme="minorHAnsi" w:hAnsiTheme="minorHAnsi" w:cstheme="minorHAnsi"/>
          <w:sz w:val="22"/>
          <w:szCs w:val="22"/>
        </w:rPr>
      </w:pPr>
    </w:p>
    <w:p w14:paraId="04590224" w14:textId="77777777" w:rsidR="00401C82" w:rsidRDefault="00000000">
      <w:pPr>
        <w:jc w:val="both"/>
        <w:rPr>
          <w:rFonts w:asciiTheme="minorHAnsi" w:hAnsiTheme="minorHAnsi" w:cstheme="minorBidi"/>
          <w:sz w:val="22"/>
          <w:szCs w:val="22"/>
        </w:rPr>
      </w:pPr>
      <w:r>
        <w:rPr>
          <w:rFonts w:asciiTheme="minorHAnsi" w:hAnsiTheme="minorHAnsi" w:cstheme="minorBidi"/>
          <w:sz w:val="22"/>
          <w:szCs w:val="22"/>
        </w:rPr>
        <w:t>Le présent marché vise à produire, dans le cadre d’un lot unique comprenant trois sous-actions intégrées, les instruments techniques, institutionnels, juridiques et financiers nécessaires pour :</w:t>
      </w:r>
      <w:r>
        <w:br/>
      </w:r>
      <w:r>
        <w:br/>
      </w:r>
      <w:r>
        <w:rPr>
          <w:rFonts w:asciiTheme="minorHAnsi" w:hAnsiTheme="minorHAnsi" w:cstheme="minorBidi"/>
          <w:sz w:val="22"/>
          <w:szCs w:val="22"/>
        </w:rPr>
        <w:t>i) structurer une feuille de route nationale « carbone mangroves » sur la période 2025–2035 ;</w:t>
      </w:r>
      <w:r>
        <w:br/>
      </w:r>
      <w:r>
        <w:br/>
      </w:r>
      <w:r>
        <w:rPr>
          <w:rFonts w:asciiTheme="minorHAnsi" w:hAnsiTheme="minorHAnsi" w:cstheme="minorBidi"/>
          <w:sz w:val="22"/>
          <w:szCs w:val="22"/>
        </w:rPr>
        <w:t>ii) doter Haïti d’un registre simplifié et d’une procédure d’autorisation ITMO (Article 6.2) immédiatement mobilisables ;</w:t>
      </w:r>
    </w:p>
    <w:p w14:paraId="65B3DB05" w14:textId="77777777" w:rsidR="00401C82" w:rsidRDefault="00000000">
      <w:pPr>
        <w:jc w:val="both"/>
        <w:rPr>
          <w:rFonts w:asciiTheme="minorHAnsi" w:hAnsiTheme="minorHAnsi" w:cstheme="minorBidi"/>
          <w:sz w:val="22"/>
          <w:szCs w:val="22"/>
        </w:rPr>
      </w:pPr>
      <w:r>
        <w:br/>
      </w:r>
      <w:r>
        <w:rPr>
          <w:rFonts w:asciiTheme="minorHAnsi" w:hAnsiTheme="minorHAnsi" w:cstheme="minorBidi"/>
          <w:sz w:val="22"/>
          <w:szCs w:val="22"/>
        </w:rPr>
        <w:t xml:space="preserve">iii) concevoir un modèle de financement hybride et un paquet de pré-structuration (business case, </w:t>
      </w:r>
      <w:proofErr w:type="spellStart"/>
      <w:r>
        <w:rPr>
          <w:rFonts w:asciiTheme="minorHAnsi" w:hAnsiTheme="minorHAnsi" w:cstheme="minorBidi"/>
          <w:sz w:val="22"/>
          <w:szCs w:val="22"/>
        </w:rPr>
        <w:t>term-sheet</w:t>
      </w:r>
      <w:proofErr w:type="spellEnd"/>
      <w:r>
        <w:rPr>
          <w:rFonts w:asciiTheme="minorHAnsi" w:hAnsiTheme="minorHAnsi" w:cstheme="minorBidi"/>
          <w:sz w:val="22"/>
          <w:szCs w:val="22"/>
        </w:rPr>
        <w:t xml:space="preserve"> pré-ERPA, scénarios de revenus, plan de capitalisation du FHB) permettant de rendre un pipeline de projets mangroves bancable et aligné sur l’Accord de Paris.</w:t>
      </w:r>
      <w:r>
        <w:br/>
      </w:r>
      <w:r>
        <w:br/>
      </w:r>
      <w:r>
        <w:rPr>
          <w:rFonts w:asciiTheme="minorHAnsi" w:hAnsiTheme="minorHAnsi" w:cstheme="minorBidi"/>
          <w:sz w:val="22"/>
          <w:szCs w:val="22"/>
        </w:rPr>
        <w:t xml:space="preserve">Les livrables devront être directement actionnables par le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le MAE, MEF, le FHB et les partenaires, et compatibles avec une phase ultérieure de développement de projets (pré-PDD/PDD, structuration ERPA/ITMO, engagement d’un standard et d’un vérificateur) avant 2030.</w:t>
      </w:r>
    </w:p>
    <w:p w14:paraId="3FE634A5" w14:textId="77777777" w:rsidR="00401C82" w:rsidRDefault="00401C82">
      <w:pPr>
        <w:tabs>
          <w:tab w:val="num" w:pos="900"/>
        </w:tabs>
        <w:ind w:left="900" w:hanging="360"/>
        <w:rPr>
          <w:rFonts w:asciiTheme="minorHAnsi" w:hAnsiTheme="minorHAnsi" w:cstheme="minorHAnsi"/>
          <w:sz w:val="22"/>
          <w:szCs w:val="22"/>
        </w:rPr>
      </w:pPr>
    </w:p>
    <w:p w14:paraId="7D7E7202" w14:textId="77777777" w:rsidR="00401C82" w:rsidRDefault="00000000">
      <w:pPr>
        <w:numPr>
          <w:ilvl w:val="1"/>
          <w:numId w:val="31"/>
        </w:numPr>
        <w:tabs>
          <w:tab w:val="clear" w:pos="1440"/>
          <w:tab w:val="num" w:pos="900"/>
        </w:tabs>
        <w:ind w:left="90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Objectifs spécifiques</w:t>
      </w:r>
    </w:p>
    <w:p w14:paraId="76E8AF48" w14:textId="77777777" w:rsidR="00401C82" w:rsidRDefault="00401C82">
      <w:pPr>
        <w:rPr>
          <w:rFonts w:asciiTheme="minorHAnsi" w:hAnsiTheme="minorHAnsi" w:cstheme="minorHAnsi"/>
          <w:sz w:val="22"/>
          <w:szCs w:val="22"/>
        </w:rPr>
      </w:pPr>
    </w:p>
    <w:p w14:paraId="57996766" w14:textId="77777777" w:rsidR="00401C82" w:rsidRDefault="00000000">
      <w:pPr>
        <w:pStyle w:val="Paragraphedeliste"/>
        <w:numPr>
          <w:ilvl w:val="0"/>
          <w:numId w:val="34"/>
        </w:numPr>
        <w:jc w:val="both"/>
        <w:rPr>
          <w:rFonts w:asciiTheme="minorHAnsi" w:hAnsiTheme="minorHAnsi" w:cstheme="minorBidi"/>
          <w:sz w:val="22"/>
          <w:szCs w:val="22"/>
        </w:rPr>
      </w:pPr>
      <w:r>
        <w:rPr>
          <w:rFonts w:asciiTheme="minorHAnsi" w:hAnsiTheme="minorHAnsi" w:cstheme="minorBidi"/>
          <w:sz w:val="22"/>
          <w:szCs w:val="22"/>
        </w:rPr>
        <w:t>Élaborer une feuille de route nationale 2025–2035 « carbone mangroves » intégrant objectifs quantifiés, coûts, rôles institutionnels, MRV, cadres contractuels et alignement GGIA/CDN/NDC 3.0.</w:t>
      </w:r>
    </w:p>
    <w:p w14:paraId="332092D7" w14:textId="77777777" w:rsidR="00401C82" w:rsidRDefault="00000000">
      <w:pPr>
        <w:pStyle w:val="Paragraphedeliste"/>
        <w:numPr>
          <w:ilvl w:val="0"/>
          <w:numId w:val="34"/>
        </w:numPr>
        <w:jc w:val="both"/>
        <w:rPr>
          <w:rFonts w:asciiTheme="minorHAnsi" w:hAnsiTheme="minorHAnsi" w:cstheme="minorBidi"/>
          <w:sz w:val="22"/>
          <w:szCs w:val="22"/>
        </w:rPr>
      </w:pPr>
      <w:r>
        <w:rPr>
          <w:rFonts w:asciiTheme="minorHAnsi" w:hAnsiTheme="minorHAnsi" w:cstheme="minorBidi"/>
          <w:sz w:val="22"/>
          <w:szCs w:val="22"/>
        </w:rPr>
        <w:lastRenderedPageBreak/>
        <w:t xml:space="preserve">Concevoir et rendre opérationnel un registre simplifié et un processus d’autorisation ITMO (Article 6.2), incluant une Lettre d’Autorisation-type et une note politique de négociation bilatérale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/MAE.</w:t>
      </w:r>
    </w:p>
    <w:p w14:paraId="03AE1355" w14:textId="77777777" w:rsidR="00401C82" w:rsidRDefault="00000000">
      <w:pPr>
        <w:pStyle w:val="Paragraphedeliste"/>
        <w:numPr>
          <w:ilvl w:val="0"/>
          <w:numId w:val="34"/>
        </w:numPr>
        <w:jc w:val="both"/>
        <w:rPr>
          <w:rFonts w:asciiTheme="minorHAnsi" w:hAnsiTheme="minorHAnsi" w:cstheme="minorBidi"/>
          <w:sz w:val="22"/>
          <w:szCs w:val="22"/>
        </w:rPr>
      </w:pPr>
      <w:r>
        <w:rPr>
          <w:rFonts w:asciiTheme="minorHAnsi" w:hAnsiTheme="minorHAnsi" w:cstheme="minorBidi"/>
          <w:sz w:val="22"/>
          <w:szCs w:val="22"/>
        </w:rPr>
        <w:t xml:space="preserve">Construire un business case et un modèle financier multi-scénarios (VCM/Article 6/PSE), produire un </w:t>
      </w:r>
      <w:proofErr w:type="spellStart"/>
      <w:r>
        <w:rPr>
          <w:rFonts w:asciiTheme="minorHAnsi" w:hAnsiTheme="minorHAnsi" w:cstheme="minorBidi"/>
          <w:sz w:val="22"/>
          <w:szCs w:val="22"/>
        </w:rPr>
        <w:t>term-sheet</w:t>
      </w:r>
      <w:proofErr w:type="spellEnd"/>
      <w:r>
        <w:rPr>
          <w:rFonts w:asciiTheme="minorHAnsi" w:hAnsiTheme="minorHAnsi" w:cstheme="minorBidi"/>
          <w:sz w:val="22"/>
          <w:szCs w:val="22"/>
        </w:rPr>
        <w:t xml:space="preserve"> pré-ERPA et proposer un plan de capitalisation renforcé du FHB afin de sécuriser la </w:t>
      </w:r>
      <w:proofErr w:type="spellStart"/>
      <w:r>
        <w:rPr>
          <w:rFonts w:asciiTheme="minorHAnsi" w:hAnsiTheme="minorHAnsi" w:cstheme="minorBidi"/>
          <w:sz w:val="22"/>
          <w:szCs w:val="22"/>
        </w:rPr>
        <w:t>bancabilité</w:t>
      </w:r>
      <w:proofErr w:type="spellEnd"/>
      <w:r>
        <w:rPr>
          <w:rFonts w:asciiTheme="minorHAnsi" w:hAnsiTheme="minorHAnsi" w:cstheme="minorBidi"/>
          <w:sz w:val="22"/>
          <w:szCs w:val="22"/>
        </w:rPr>
        <w:t xml:space="preserve"> des projets.</w:t>
      </w:r>
    </w:p>
    <w:p w14:paraId="48285375" w14:textId="77777777" w:rsidR="00401C82" w:rsidRDefault="00401C82">
      <w:pPr>
        <w:rPr>
          <w:rFonts w:asciiTheme="minorHAnsi" w:hAnsiTheme="minorHAnsi" w:cstheme="minorBidi"/>
          <w:sz w:val="22"/>
          <w:szCs w:val="22"/>
        </w:rPr>
      </w:pPr>
    </w:p>
    <w:p w14:paraId="4E169674" w14:textId="77777777" w:rsidR="00401C82" w:rsidRDefault="00000000">
      <w:pPr>
        <w:numPr>
          <w:ilvl w:val="1"/>
          <w:numId w:val="31"/>
        </w:numPr>
        <w:tabs>
          <w:tab w:val="clear" w:pos="1440"/>
          <w:tab w:val="num" w:pos="900"/>
        </w:tabs>
        <w:ind w:left="90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Résultats à atteindre</w:t>
      </w:r>
    </w:p>
    <w:p w14:paraId="5396D002" w14:textId="77777777" w:rsidR="00401C82" w:rsidRDefault="00401C82">
      <w:pPr>
        <w:rPr>
          <w:rFonts w:asciiTheme="minorHAnsi" w:hAnsiTheme="minorHAnsi" w:cstheme="minorHAnsi"/>
          <w:sz w:val="22"/>
          <w:szCs w:val="22"/>
        </w:rPr>
      </w:pPr>
    </w:p>
    <w:p w14:paraId="5BB6BDD5"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Pour complétude, et sans retrancher aucun élément, les résultats attendus dérivent directement des objectifs et des livrables cumulés :</w:t>
      </w:r>
      <w:r>
        <w:rPr>
          <w:rFonts w:asciiTheme="minorHAnsi" w:hAnsiTheme="minorHAnsi" w:cstheme="minorHAnsi"/>
          <w:sz w:val="22"/>
          <w:szCs w:val="22"/>
        </w:rPr>
        <w:br/>
      </w:r>
    </w:p>
    <w:p w14:paraId="0C9D7DCE" w14:textId="77777777" w:rsidR="00401C82" w:rsidRDefault="00000000">
      <w:pPr>
        <w:pStyle w:val="Paragraphedeliste"/>
        <w:numPr>
          <w:ilvl w:val="0"/>
          <w:numId w:val="35"/>
        </w:numPr>
        <w:jc w:val="both"/>
        <w:rPr>
          <w:rFonts w:asciiTheme="minorHAnsi" w:hAnsiTheme="minorHAnsi" w:cstheme="minorBidi"/>
          <w:sz w:val="22"/>
          <w:szCs w:val="22"/>
        </w:rPr>
      </w:pPr>
      <w:r>
        <w:rPr>
          <w:rFonts w:asciiTheme="minorHAnsi" w:hAnsiTheme="minorHAnsi" w:cstheme="minorBidi"/>
          <w:sz w:val="22"/>
          <w:szCs w:val="22"/>
        </w:rPr>
        <w:t>Une feuille de route nationale 2025–2035 validée institutionnellement, précisant priorités, coûts, séquençage et responsabilités</w:t>
      </w:r>
    </w:p>
    <w:p w14:paraId="10F0111E" w14:textId="77777777" w:rsidR="00401C82" w:rsidRDefault="00000000">
      <w:pPr>
        <w:numPr>
          <w:ilvl w:val="0"/>
          <w:numId w:val="35"/>
        </w:numPr>
        <w:jc w:val="both"/>
        <w:rPr>
          <w:rFonts w:asciiTheme="minorHAnsi" w:hAnsiTheme="minorHAnsi" w:cstheme="minorBidi"/>
          <w:sz w:val="22"/>
          <w:szCs w:val="22"/>
        </w:rPr>
      </w:pPr>
      <w:r>
        <w:rPr>
          <w:rFonts w:asciiTheme="minorHAnsi" w:hAnsiTheme="minorHAnsi" w:cstheme="minorBidi"/>
          <w:sz w:val="22"/>
          <w:szCs w:val="22"/>
        </w:rPr>
        <w:t xml:space="preserve">Un dispositif Article 6.2 minimal mais opérationnel, traçable et auditable : registre simplifié, procédure d’autorisation ITMO, </w:t>
      </w:r>
      <w:proofErr w:type="spellStart"/>
      <w:r>
        <w:rPr>
          <w:rFonts w:asciiTheme="minorHAnsi" w:hAnsiTheme="minorHAnsi" w:cstheme="minorBidi"/>
          <w:sz w:val="22"/>
          <w:szCs w:val="22"/>
        </w:rPr>
        <w:t>LoA</w:t>
      </w:r>
      <w:proofErr w:type="spellEnd"/>
      <w:r>
        <w:rPr>
          <w:rFonts w:asciiTheme="minorHAnsi" w:hAnsiTheme="minorHAnsi" w:cstheme="minorBidi"/>
          <w:sz w:val="22"/>
          <w:szCs w:val="22"/>
        </w:rPr>
        <w:t xml:space="preserve"> type, canevas d'accord, manuel, et formation.</w:t>
      </w:r>
    </w:p>
    <w:p w14:paraId="64CD7819" w14:textId="77777777" w:rsidR="00401C82" w:rsidRDefault="00000000">
      <w:pPr>
        <w:numPr>
          <w:ilvl w:val="0"/>
          <w:numId w:val="35"/>
        </w:numPr>
        <w:jc w:val="both"/>
        <w:rPr>
          <w:rFonts w:asciiTheme="minorHAnsi" w:hAnsiTheme="minorHAnsi" w:cstheme="minorBidi"/>
          <w:sz w:val="22"/>
          <w:szCs w:val="22"/>
        </w:rPr>
      </w:pPr>
      <w:r>
        <w:rPr>
          <w:rFonts w:asciiTheme="minorHAnsi" w:hAnsiTheme="minorHAnsi" w:cstheme="minorBidi"/>
          <w:sz w:val="22"/>
          <w:szCs w:val="22"/>
        </w:rPr>
        <w:t xml:space="preserve">Un paquet de </w:t>
      </w:r>
      <w:proofErr w:type="spellStart"/>
      <w:r>
        <w:rPr>
          <w:rFonts w:asciiTheme="minorHAnsi" w:hAnsiTheme="minorHAnsi" w:cstheme="minorBidi"/>
          <w:sz w:val="22"/>
          <w:szCs w:val="22"/>
        </w:rPr>
        <w:t>bancabilité</w:t>
      </w:r>
      <w:proofErr w:type="spellEnd"/>
      <w:r>
        <w:rPr>
          <w:rFonts w:asciiTheme="minorHAnsi" w:hAnsiTheme="minorHAnsi" w:cstheme="minorBidi"/>
          <w:sz w:val="22"/>
          <w:szCs w:val="22"/>
        </w:rPr>
        <w:t xml:space="preserve"> et de structuration financière : business case, modèle financier auditable multi-scénarios, </w:t>
      </w:r>
      <w:proofErr w:type="spellStart"/>
      <w:r>
        <w:rPr>
          <w:rFonts w:asciiTheme="minorHAnsi" w:hAnsiTheme="minorHAnsi" w:cstheme="minorBidi"/>
          <w:sz w:val="22"/>
          <w:szCs w:val="22"/>
        </w:rPr>
        <w:t>term-sheet</w:t>
      </w:r>
      <w:proofErr w:type="spellEnd"/>
      <w:r>
        <w:rPr>
          <w:rFonts w:asciiTheme="minorHAnsi" w:hAnsiTheme="minorHAnsi" w:cstheme="minorBidi"/>
          <w:sz w:val="22"/>
          <w:szCs w:val="22"/>
        </w:rPr>
        <w:t xml:space="preserve"> pré-ERPA, plan de capitalisation du FHB, supports investisseurs.</w:t>
      </w:r>
    </w:p>
    <w:p w14:paraId="39854CDF" w14:textId="77777777" w:rsidR="00401C82" w:rsidRDefault="00000000">
      <w:pPr>
        <w:numPr>
          <w:ilvl w:val="0"/>
          <w:numId w:val="35"/>
        </w:numPr>
        <w:jc w:val="both"/>
        <w:rPr>
          <w:rFonts w:asciiTheme="minorHAnsi" w:hAnsiTheme="minorHAnsi" w:cstheme="minorBidi"/>
          <w:sz w:val="22"/>
          <w:szCs w:val="22"/>
        </w:rPr>
      </w:pPr>
      <w:r>
        <w:rPr>
          <w:rFonts w:asciiTheme="minorHAnsi" w:hAnsiTheme="minorHAnsi" w:cstheme="minorBidi"/>
          <w:sz w:val="22"/>
          <w:szCs w:val="22"/>
        </w:rPr>
        <w:t>Un dossier d’appropriation (formation, comptes rendus d’ateliers, matrice</w:t>
      </w:r>
      <w:proofErr w:type="gramStart"/>
      <w:r>
        <w:rPr>
          <w:rFonts w:asciiTheme="minorHAnsi" w:hAnsiTheme="minorHAnsi" w:cstheme="minorBidi"/>
          <w:sz w:val="22"/>
          <w:szCs w:val="22"/>
        </w:rPr>
        <w:t xml:space="preserve"> «premiers</w:t>
      </w:r>
      <w:proofErr w:type="gramEnd"/>
      <w:r>
        <w:rPr>
          <w:rFonts w:asciiTheme="minorHAnsi" w:hAnsiTheme="minorHAnsi" w:cstheme="minorBidi"/>
          <w:sz w:val="22"/>
          <w:szCs w:val="22"/>
        </w:rPr>
        <w:t xml:space="preserve"> crédits avant </w:t>
      </w:r>
      <w:proofErr w:type="gramStart"/>
      <w:r>
        <w:rPr>
          <w:rFonts w:asciiTheme="minorHAnsi" w:hAnsiTheme="minorHAnsi" w:cstheme="minorBidi"/>
          <w:sz w:val="22"/>
          <w:szCs w:val="22"/>
        </w:rPr>
        <w:t>2030»</w:t>
      </w:r>
      <w:proofErr w:type="gramEnd"/>
      <w:r>
        <w:rPr>
          <w:rFonts w:asciiTheme="minorHAnsi" w:hAnsiTheme="minorHAnsi" w:cstheme="minorBidi"/>
          <w:sz w:val="22"/>
          <w:szCs w:val="22"/>
        </w:rPr>
        <w:t>, recommandations de phase suivante).</w:t>
      </w:r>
    </w:p>
    <w:p w14:paraId="49E2CF2B" w14:textId="77777777" w:rsidR="00401C82" w:rsidRDefault="00401C82">
      <w:pPr>
        <w:ind w:left="720"/>
        <w:jc w:val="both"/>
        <w:rPr>
          <w:rFonts w:asciiTheme="minorHAnsi" w:hAnsiTheme="minorHAnsi" w:cstheme="minorBidi"/>
          <w:sz w:val="22"/>
          <w:szCs w:val="22"/>
        </w:rPr>
      </w:pPr>
    </w:p>
    <w:p w14:paraId="1D327B64" w14:textId="77777777" w:rsidR="00401C82" w:rsidRDefault="00000000">
      <w:pPr>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Description de la mission</w:t>
      </w:r>
    </w:p>
    <w:p w14:paraId="34B46BD8" w14:textId="77777777" w:rsidR="00401C82" w:rsidRDefault="00401C82">
      <w:pPr>
        <w:rPr>
          <w:rFonts w:asciiTheme="minorHAnsi" w:hAnsiTheme="minorHAnsi" w:cstheme="minorHAnsi"/>
          <w:sz w:val="22"/>
          <w:szCs w:val="22"/>
        </w:rPr>
      </w:pPr>
    </w:p>
    <w:p w14:paraId="089A0002" w14:textId="77777777" w:rsidR="00401C82" w:rsidRDefault="00000000">
      <w:pPr>
        <w:numPr>
          <w:ilvl w:val="1"/>
          <w:numId w:val="31"/>
        </w:numPr>
        <w:tabs>
          <w:tab w:val="clear" w:pos="1440"/>
          <w:tab w:val="num" w:pos="900"/>
        </w:tabs>
        <w:ind w:left="900"/>
        <w:rPr>
          <w:rFonts w:asciiTheme="minorHAnsi" w:eastAsia="Arial Unicode MS" w:hAnsiTheme="minorHAnsi" w:cstheme="minorHAnsi"/>
          <w:b/>
          <w:sz w:val="22"/>
          <w:szCs w:val="22"/>
          <w:lang w:eastAsia="en-US"/>
        </w:rPr>
      </w:pPr>
      <w:r>
        <w:rPr>
          <w:rFonts w:asciiTheme="minorHAnsi" w:eastAsia="Arial Unicode MS" w:hAnsiTheme="minorHAnsi" w:cstheme="minorBidi"/>
          <w:b/>
          <w:bCs/>
          <w:sz w:val="22"/>
          <w:szCs w:val="22"/>
          <w:lang w:eastAsia="en-US"/>
        </w:rPr>
        <w:t>Activités prévues</w:t>
      </w:r>
    </w:p>
    <w:p w14:paraId="16FF0B98" w14:textId="77777777" w:rsidR="00401C82" w:rsidRDefault="00401C82">
      <w:pPr>
        <w:pStyle w:val="Paragraphedeliste2"/>
        <w:tabs>
          <w:tab w:val="num" w:pos="900"/>
        </w:tabs>
        <w:spacing w:line="276" w:lineRule="auto"/>
        <w:ind w:left="0"/>
        <w:contextualSpacing/>
        <w:jc w:val="both"/>
        <w:rPr>
          <w:rFonts w:asciiTheme="minorHAnsi" w:hAnsiTheme="minorHAnsi" w:cstheme="minorBidi"/>
          <w:sz w:val="22"/>
          <w:szCs w:val="22"/>
        </w:rPr>
      </w:pPr>
    </w:p>
    <w:p w14:paraId="516C88E7" w14:textId="77777777" w:rsidR="00401C82" w:rsidRDefault="00000000">
      <w:pPr>
        <w:pStyle w:val="Paragraphedeliste2"/>
        <w:tabs>
          <w:tab w:val="num" w:pos="900"/>
        </w:tabs>
        <w:spacing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Le marché couvre trois sous-actions interdépendantes, mises en œuvre de manière coordonnée sur une période maximale de 12 mois, avec des livrables cumulés et cohérents. Le prestataire devra accompagner les institutions haïtiennes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xml:space="preserve">, MAE, FHB, ANAP, ANDH) et la DUE/Expertise France selon une méthodologie combinant : cadrage multipartite, diagnostics et gap </w:t>
      </w:r>
      <w:proofErr w:type="spellStart"/>
      <w:r>
        <w:rPr>
          <w:rFonts w:asciiTheme="minorHAnsi" w:hAnsiTheme="minorHAnsi" w:cstheme="minorBidi"/>
          <w:sz w:val="22"/>
          <w:szCs w:val="22"/>
        </w:rPr>
        <w:t>analysis</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co-conception</w:t>
      </w:r>
      <w:proofErr w:type="spellEnd"/>
      <w:r>
        <w:rPr>
          <w:rFonts w:asciiTheme="minorHAnsi" w:hAnsiTheme="minorHAnsi" w:cstheme="minorBidi"/>
          <w:sz w:val="22"/>
          <w:szCs w:val="22"/>
        </w:rPr>
        <w:t xml:space="preserve"> d’outils opérationnels (registre, SOP, canevas), modélisation financière auditable, ateliers de validation, transfert de compétences et préparation à une phase ultérieure pré-PDD/PDD et transaction.</w:t>
      </w:r>
      <w:r>
        <w:br/>
      </w:r>
    </w:p>
    <w:p w14:paraId="4BCCF915" w14:textId="77777777" w:rsidR="00401C82" w:rsidRDefault="00000000">
      <w:pPr>
        <w:pStyle w:val="Paragraphedeliste2"/>
        <w:spacing w:line="276" w:lineRule="auto"/>
        <w:ind w:left="0"/>
        <w:contextualSpacing/>
        <w:rPr>
          <w:rFonts w:asciiTheme="minorHAnsi" w:hAnsiTheme="minorHAnsi" w:cstheme="minorBidi"/>
          <w:b/>
          <w:bCs/>
          <w:sz w:val="22"/>
          <w:szCs w:val="22"/>
          <w:u w:val="single"/>
        </w:rPr>
      </w:pPr>
      <w:r>
        <w:rPr>
          <w:rFonts w:asciiTheme="minorHAnsi" w:hAnsiTheme="minorHAnsi" w:cstheme="minorBidi"/>
          <w:b/>
          <w:bCs/>
          <w:sz w:val="22"/>
          <w:szCs w:val="22"/>
          <w:u w:val="single"/>
        </w:rPr>
        <w:t xml:space="preserve">Phase </w:t>
      </w:r>
      <w:bookmarkStart w:id="0" w:name="_Int_R1NV0TSi"/>
      <w:proofErr w:type="gramStart"/>
      <w:r>
        <w:rPr>
          <w:rFonts w:asciiTheme="minorHAnsi" w:hAnsiTheme="minorHAnsi" w:cstheme="minorBidi"/>
          <w:b/>
          <w:bCs/>
          <w:sz w:val="22"/>
          <w:szCs w:val="22"/>
          <w:u w:val="single"/>
        </w:rPr>
        <w:t>0:</w:t>
      </w:r>
      <w:bookmarkEnd w:id="0"/>
      <w:proofErr w:type="gramEnd"/>
      <w:r>
        <w:rPr>
          <w:rFonts w:asciiTheme="minorHAnsi" w:hAnsiTheme="minorHAnsi" w:cstheme="minorBidi"/>
          <w:b/>
          <w:bCs/>
          <w:sz w:val="22"/>
          <w:szCs w:val="22"/>
          <w:u w:val="single"/>
        </w:rPr>
        <w:t xml:space="preserve"> Préparation de la mission</w:t>
      </w:r>
      <w:r>
        <w:br/>
      </w:r>
    </w:p>
    <w:p w14:paraId="117C7B70" w14:textId="77777777" w:rsidR="00401C82" w:rsidRDefault="00000000">
      <w:pPr>
        <w:pStyle w:val="Paragraphedeliste2"/>
        <w:tabs>
          <w:tab w:val="num" w:pos="12"/>
        </w:tabs>
        <w:spacing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La phase de cadrage débutera par une</w:t>
      </w:r>
      <w:r>
        <w:rPr>
          <w:rFonts w:asciiTheme="minorHAnsi" w:hAnsiTheme="minorHAnsi" w:cstheme="minorBidi"/>
          <w:b/>
          <w:bCs/>
          <w:sz w:val="22"/>
          <w:szCs w:val="22"/>
        </w:rPr>
        <w:t xml:space="preserve"> réunion de lancement contractuelle </w:t>
      </w:r>
      <w:r>
        <w:rPr>
          <w:rFonts w:asciiTheme="minorHAnsi" w:hAnsiTheme="minorHAnsi" w:cstheme="minorBidi"/>
          <w:sz w:val="22"/>
          <w:szCs w:val="22"/>
        </w:rPr>
        <w:t>entre Expertise France et le Consultant, afin de s’assurer que tous les aspects contractuels sont clarifiés. Cette réunion de lancement permettra également une première collecte de données et constituera une occasion de fournir au consultant des éléments de contexte.</w:t>
      </w:r>
    </w:p>
    <w:p w14:paraId="6F98453C" w14:textId="77777777" w:rsidR="00401C82" w:rsidRDefault="00401C82">
      <w:pPr>
        <w:pStyle w:val="Paragraphedeliste2"/>
        <w:tabs>
          <w:tab w:val="num" w:pos="12"/>
        </w:tabs>
        <w:spacing w:line="276" w:lineRule="auto"/>
        <w:ind w:left="0"/>
        <w:contextualSpacing/>
        <w:jc w:val="both"/>
        <w:rPr>
          <w:rFonts w:asciiTheme="minorHAnsi" w:hAnsiTheme="minorHAnsi" w:cstheme="minorBidi"/>
          <w:sz w:val="22"/>
          <w:szCs w:val="22"/>
        </w:rPr>
      </w:pPr>
    </w:p>
    <w:p w14:paraId="3FA50EED" w14:textId="77777777" w:rsidR="00401C82" w:rsidRDefault="00000000">
      <w:pPr>
        <w:pStyle w:val="Paragraphedeliste2"/>
        <w:tabs>
          <w:tab w:val="num" w:pos="12"/>
        </w:tabs>
        <w:spacing w:line="276" w:lineRule="auto"/>
        <w:ind w:left="0"/>
        <w:jc w:val="both"/>
        <w:rPr>
          <w:rFonts w:asciiTheme="minorHAnsi" w:hAnsiTheme="minorHAnsi" w:cstheme="minorBidi"/>
          <w:sz w:val="22"/>
          <w:szCs w:val="22"/>
        </w:rPr>
      </w:pPr>
      <w:r>
        <w:rPr>
          <w:rFonts w:asciiTheme="minorHAnsi" w:hAnsiTheme="minorHAnsi" w:cstheme="minorBidi"/>
          <w:b/>
          <w:bCs/>
          <w:sz w:val="22"/>
          <w:szCs w:val="22"/>
        </w:rPr>
        <w:t>Une réunion de lancement officielle (Kick-</w:t>
      </w:r>
      <w:proofErr w:type="gramStart"/>
      <w:r>
        <w:rPr>
          <w:rFonts w:asciiTheme="minorHAnsi" w:hAnsiTheme="minorHAnsi" w:cstheme="minorBidi"/>
          <w:b/>
          <w:bCs/>
          <w:sz w:val="22"/>
          <w:szCs w:val="22"/>
        </w:rPr>
        <w:t>off meeting</w:t>
      </w:r>
      <w:proofErr w:type="gramEnd"/>
      <w:r>
        <w:rPr>
          <w:rFonts w:asciiTheme="minorHAnsi" w:hAnsiTheme="minorHAnsi" w:cstheme="minorBidi"/>
          <w:b/>
          <w:bCs/>
          <w:sz w:val="22"/>
          <w:szCs w:val="22"/>
        </w:rPr>
        <w:t>)</w:t>
      </w:r>
      <w:r>
        <w:rPr>
          <w:rFonts w:asciiTheme="minorHAnsi" w:hAnsiTheme="minorHAnsi" w:cstheme="minorBidi"/>
          <w:sz w:val="22"/>
          <w:szCs w:val="22"/>
        </w:rPr>
        <w:t xml:space="preserve"> visant à lancer la mission sera organisée virtuellement avec le </w:t>
      </w:r>
      <w:proofErr w:type="gramStart"/>
      <w:r>
        <w:rPr>
          <w:rFonts w:asciiTheme="minorHAnsi" w:hAnsiTheme="minorHAnsi" w:cstheme="minorBidi"/>
          <w:sz w:val="22"/>
          <w:szCs w:val="22"/>
        </w:rPr>
        <w:t>Ministère de l’Environnement</w:t>
      </w:r>
      <w:proofErr w:type="gramEnd"/>
      <w:r>
        <w:rPr>
          <w:rFonts w:asciiTheme="minorHAnsi" w:hAnsiTheme="minorHAnsi" w:cstheme="minorBidi"/>
          <w:sz w:val="22"/>
          <w:szCs w:val="22"/>
        </w:rPr>
        <w:t xml:space="preserv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xml:space="preserve">), le Bureau de l’Ordonnateur National (BON), Expertise France, la Délégation de l’Union Européenne d’Haiti, la Délégation de l’Union Européenne de </w:t>
      </w:r>
      <w:r>
        <w:rPr>
          <w:rFonts w:asciiTheme="minorHAnsi" w:hAnsiTheme="minorHAnsi" w:cstheme="minorBidi"/>
          <w:sz w:val="22"/>
          <w:szCs w:val="22"/>
        </w:rPr>
        <w:lastRenderedPageBreak/>
        <w:t>la Barbade ainsi que les représentants des institutions nationales désignées par les points focaux d’</w:t>
      </w:r>
      <w:proofErr w:type="spellStart"/>
      <w:r>
        <w:rPr>
          <w:rFonts w:asciiTheme="minorHAnsi" w:hAnsiTheme="minorHAnsi" w:cstheme="minorBidi"/>
          <w:sz w:val="22"/>
          <w:szCs w:val="22"/>
        </w:rPr>
        <w:t>Euroclima</w:t>
      </w:r>
      <w:proofErr w:type="spellEnd"/>
      <w:r>
        <w:rPr>
          <w:rFonts w:asciiTheme="minorHAnsi" w:hAnsiTheme="minorHAnsi" w:cstheme="minorBidi"/>
          <w:sz w:val="22"/>
          <w:szCs w:val="22"/>
        </w:rPr>
        <w:t xml:space="preserve"> en Haïti. </w:t>
      </w:r>
    </w:p>
    <w:p w14:paraId="3A3A64F4" w14:textId="77777777" w:rsidR="00401C82" w:rsidRDefault="00401C82">
      <w:pPr>
        <w:pStyle w:val="Paragraphedeliste2"/>
        <w:tabs>
          <w:tab w:val="num" w:pos="12"/>
        </w:tabs>
        <w:spacing w:line="276" w:lineRule="auto"/>
        <w:ind w:left="0"/>
        <w:jc w:val="both"/>
        <w:rPr>
          <w:rFonts w:asciiTheme="minorHAnsi" w:hAnsiTheme="minorHAnsi" w:cstheme="minorBidi"/>
          <w:sz w:val="22"/>
          <w:szCs w:val="22"/>
        </w:rPr>
      </w:pPr>
    </w:p>
    <w:p w14:paraId="6D3FA9B9" w14:textId="77777777" w:rsidR="00401C82" w:rsidRDefault="00000000">
      <w:pPr>
        <w:pStyle w:val="Paragraphedeliste2"/>
        <w:tabs>
          <w:tab w:val="num" w:pos="12"/>
        </w:tabs>
        <w:spacing w:line="276" w:lineRule="auto"/>
        <w:ind w:left="0"/>
        <w:contextualSpacing/>
        <w:jc w:val="both"/>
      </w:pPr>
      <w:r>
        <w:rPr>
          <w:rFonts w:asciiTheme="minorHAnsi" w:hAnsiTheme="minorHAnsi" w:cstheme="minorBidi"/>
          <w:sz w:val="22"/>
          <w:szCs w:val="22"/>
        </w:rPr>
        <w:t>L’objectif de la réunion sera de :</w:t>
      </w:r>
    </w:p>
    <w:p w14:paraId="3E5F0A2E" w14:textId="77777777" w:rsidR="00401C82" w:rsidRDefault="00000000">
      <w:pPr>
        <w:pStyle w:val="Paragraphedeliste2"/>
        <w:numPr>
          <w:ilvl w:val="0"/>
          <w:numId w:val="35"/>
        </w:numPr>
        <w:tabs>
          <w:tab w:val="clear" w:pos="720"/>
          <w:tab w:val="num" w:pos="12"/>
        </w:tabs>
        <w:spacing w:line="276" w:lineRule="auto"/>
        <w:contextualSpacing/>
        <w:jc w:val="both"/>
        <w:rPr>
          <w:rFonts w:ascii="Calibri" w:hAnsi="Calibri" w:cs="Calibri"/>
          <w:sz w:val="22"/>
          <w:szCs w:val="22"/>
        </w:rPr>
      </w:pPr>
      <w:r>
        <w:rPr>
          <w:rFonts w:ascii="Calibri" w:hAnsi="Calibri" w:cs="Calibri"/>
          <w:sz w:val="22"/>
          <w:szCs w:val="22"/>
        </w:rPr>
        <w:t>Présenter les parties prenantes de la mission ;</w:t>
      </w:r>
    </w:p>
    <w:p w14:paraId="5F1656CF" w14:textId="77777777" w:rsidR="00401C82" w:rsidRDefault="00000000">
      <w:pPr>
        <w:pStyle w:val="Paragraphedeliste2"/>
        <w:numPr>
          <w:ilvl w:val="0"/>
          <w:numId w:val="35"/>
        </w:numPr>
        <w:tabs>
          <w:tab w:val="clear" w:pos="720"/>
          <w:tab w:val="num" w:pos="12"/>
        </w:tabs>
        <w:spacing w:line="276" w:lineRule="auto"/>
        <w:contextualSpacing/>
        <w:jc w:val="both"/>
        <w:rPr>
          <w:rFonts w:ascii="Calibri" w:hAnsi="Calibri" w:cs="Calibri"/>
          <w:sz w:val="22"/>
          <w:szCs w:val="22"/>
        </w:rPr>
      </w:pPr>
      <w:r>
        <w:rPr>
          <w:rFonts w:ascii="Calibri" w:hAnsi="Calibri" w:cs="Calibri"/>
          <w:sz w:val="22"/>
          <w:szCs w:val="22"/>
        </w:rPr>
        <w:t xml:space="preserve">Approfondir les objectifs de la mission et les attentes du </w:t>
      </w:r>
      <w:proofErr w:type="spellStart"/>
      <w:r>
        <w:rPr>
          <w:rFonts w:ascii="Calibri" w:hAnsi="Calibri" w:cs="Calibri"/>
          <w:sz w:val="22"/>
          <w:szCs w:val="22"/>
        </w:rPr>
        <w:t>MdE</w:t>
      </w:r>
      <w:proofErr w:type="spellEnd"/>
      <w:r>
        <w:rPr>
          <w:rFonts w:ascii="Calibri" w:hAnsi="Calibri" w:cs="Calibri"/>
          <w:sz w:val="22"/>
          <w:szCs w:val="22"/>
        </w:rPr>
        <w:t>, du BON et Expertise France ;</w:t>
      </w:r>
    </w:p>
    <w:p w14:paraId="770D23B4" w14:textId="77777777" w:rsidR="00401C82" w:rsidRDefault="00000000">
      <w:pPr>
        <w:pStyle w:val="Paragraphedeliste2"/>
        <w:numPr>
          <w:ilvl w:val="0"/>
          <w:numId w:val="35"/>
        </w:numPr>
        <w:tabs>
          <w:tab w:val="clear" w:pos="720"/>
          <w:tab w:val="num" w:pos="12"/>
        </w:tabs>
        <w:spacing w:line="276" w:lineRule="auto"/>
        <w:contextualSpacing/>
        <w:jc w:val="both"/>
        <w:rPr>
          <w:rFonts w:asciiTheme="minorHAnsi" w:hAnsiTheme="minorHAnsi" w:cstheme="minorBidi"/>
          <w:sz w:val="22"/>
          <w:szCs w:val="22"/>
        </w:rPr>
      </w:pPr>
      <w:r>
        <w:rPr>
          <w:rFonts w:ascii="Calibri" w:hAnsi="Calibri" w:cs="Calibri"/>
          <w:sz w:val="22"/>
          <w:szCs w:val="22"/>
        </w:rPr>
        <w:t xml:space="preserve">Initier la collecte des documents et des données nécessaires à la mission, notamment : </w:t>
      </w:r>
      <w:r>
        <w:rPr>
          <w:rFonts w:asciiTheme="minorHAnsi" w:hAnsiTheme="minorHAnsi" w:cstheme="minorBidi"/>
          <w:sz w:val="22"/>
          <w:szCs w:val="22"/>
        </w:rPr>
        <w:t>Examiner la documentation pertinente (CDN révisée 2022 ; documents préparatoires CDN 3.0 2025 ; documentation relative à l’étude UE de cartographie/éligibilité technique des mangroves ; éléments existants du FHB et financements pilotes ; éléments des initiatives régionales CBF/CRAB ; éléments techniques issus des échanges DUE–</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–BON–EF).</w:t>
      </w:r>
    </w:p>
    <w:p w14:paraId="4E1FAECB" w14:textId="77777777" w:rsidR="00401C82" w:rsidRDefault="00000000">
      <w:pPr>
        <w:pStyle w:val="Paragraphedeliste2"/>
        <w:numPr>
          <w:ilvl w:val="0"/>
          <w:numId w:val="35"/>
        </w:numPr>
        <w:tabs>
          <w:tab w:val="clear" w:pos="720"/>
          <w:tab w:val="num" w:pos="12"/>
        </w:tabs>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Etablir un plan de travail détaillé, incluant un calendrier optimisé (sans dépasser 12 mois), une matrice des dépendances entre actions, et une approche de gestion de versions (versioning) et traçabilité des modifications.</w:t>
      </w:r>
    </w:p>
    <w:p w14:paraId="30818C12" w14:textId="77777777" w:rsidR="00401C82" w:rsidRDefault="00000000">
      <w:pPr>
        <w:pStyle w:val="Paragraphedeliste2"/>
        <w:numPr>
          <w:ilvl w:val="0"/>
          <w:numId w:val="35"/>
        </w:numPr>
        <w:tabs>
          <w:tab w:val="clear" w:pos="720"/>
          <w:tab w:val="num" w:pos="12"/>
        </w:tabs>
        <w:spacing w:line="276" w:lineRule="auto"/>
        <w:contextualSpacing/>
        <w:jc w:val="both"/>
        <w:rPr>
          <w:rFonts w:ascii="Calibri" w:hAnsi="Calibri" w:cs="Calibri"/>
          <w:sz w:val="22"/>
          <w:szCs w:val="22"/>
        </w:rPr>
      </w:pPr>
      <w:r>
        <w:rPr>
          <w:rFonts w:ascii="Calibri" w:hAnsi="Calibri" w:cs="Calibri"/>
          <w:sz w:val="22"/>
          <w:szCs w:val="22"/>
        </w:rPr>
        <w:t>Définir des modalités d’échange fluides entre le consultant et ses interlocuteurs (par exemple, le paramétrage de la plateforme d’échange) ;</w:t>
      </w:r>
    </w:p>
    <w:p w14:paraId="74E75EB6" w14:textId="77777777" w:rsidR="00401C82" w:rsidRDefault="00000000">
      <w:pPr>
        <w:pStyle w:val="Paragraphedeliste2"/>
        <w:numPr>
          <w:ilvl w:val="0"/>
          <w:numId w:val="35"/>
        </w:numPr>
        <w:tabs>
          <w:tab w:val="clear" w:pos="720"/>
          <w:tab w:val="num" w:pos="12"/>
        </w:tabs>
        <w:spacing w:line="276" w:lineRule="auto"/>
        <w:contextualSpacing/>
        <w:jc w:val="both"/>
        <w:rPr>
          <w:rFonts w:ascii="Calibri" w:hAnsi="Calibri" w:cs="Calibri"/>
          <w:sz w:val="22"/>
          <w:szCs w:val="22"/>
        </w:rPr>
      </w:pPr>
      <w:r>
        <w:rPr>
          <w:rFonts w:ascii="Calibri" w:hAnsi="Calibri" w:cs="Calibri"/>
          <w:sz w:val="22"/>
          <w:szCs w:val="22"/>
        </w:rPr>
        <w:t>Préciser la composition du « comité de pilotage/technique » et les personnes impliquées dans la révision des livrables, ainsi que les circuits de validation des livrables ;</w:t>
      </w:r>
    </w:p>
    <w:p w14:paraId="6B295397" w14:textId="77777777" w:rsidR="00401C82" w:rsidRDefault="00000000">
      <w:pPr>
        <w:pStyle w:val="Paragraphedeliste2"/>
        <w:numPr>
          <w:ilvl w:val="0"/>
          <w:numId w:val="35"/>
        </w:numPr>
        <w:tabs>
          <w:tab w:val="clear" w:pos="720"/>
          <w:tab w:val="num" w:pos="12"/>
        </w:tabs>
        <w:spacing w:line="276" w:lineRule="auto"/>
        <w:contextualSpacing/>
        <w:jc w:val="both"/>
        <w:rPr>
          <w:rFonts w:ascii="Calibri" w:hAnsi="Calibri" w:cs="Calibri"/>
          <w:sz w:val="22"/>
          <w:szCs w:val="22"/>
        </w:rPr>
      </w:pPr>
      <w:r>
        <w:rPr>
          <w:rFonts w:ascii="Calibri" w:hAnsi="Calibri" w:cs="Calibri"/>
          <w:sz w:val="22"/>
          <w:szCs w:val="22"/>
        </w:rPr>
        <w:t>Désigner des points focaux pour la conduite de la mission dans chacune des villes (si nécessaire) ;</w:t>
      </w:r>
    </w:p>
    <w:p w14:paraId="2B78C237" w14:textId="77777777" w:rsidR="00401C82" w:rsidRDefault="00000000">
      <w:pPr>
        <w:pStyle w:val="Paragraphedeliste2"/>
        <w:numPr>
          <w:ilvl w:val="0"/>
          <w:numId w:val="35"/>
        </w:numPr>
        <w:tabs>
          <w:tab w:val="clear" w:pos="720"/>
          <w:tab w:val="num" w:pos="12"/>
        </w:tabs>
        <w:spacing w:line="276" w:lineRule="auto"/>
        <w:contextualSpacing/>
        <w:jc w:val="both"/>
        <w:rPr>
          <w:rFonts w:ascii="Calibri" w:hAnsi="Calibri" w:cs="Calibri"/>
          <w:sz w:val="22"/>
          <w:szCs w:val="22"/>
        </w:rPr>
      </w:pPr>
      <w:r>
        <w:rPr>
          <w:rFonts w:ascii="Calibri" w:hAnsi="Calibri" w:cs="Calibri"/>
          <w:sz w:val="22"/>
          <w:szCs w:val="22"/>
        </w:rPr>
        <w:t xml:space="preserve">Tout autre point nécessaire au bon déroulé de la Mission. </w:t>
      </w:r>
    </w:p>
    <w:p w14:paraId="52BF8348" w14:textId="77777777" w:rsidR="00401C82" w:rsidRDefault="00401C82">
      <w:pPr>
        <w:pStyle w:val="Paragraphedeliste2"/>
        <w:tabs>
          <w:tab w:val="num" w:pos="12"/>
        </w:tabs>
        <w:spacing w:line="276" w:lineRule="auto"/>
        <w:contextualSpacing/>
        <w:jc w:val="both"/>
        <w:rPr>
          <w:rFonts w:ascii="Calibri" w:hAnsi="Calibri" w:cs="Calibri"/>
          <w:sz w:val="22"/>
          <w:szCs w:val="22"/>
        </w:rPr>
      </w:pPr>
    </w:p>
    <w:p w14:paraId="181C500E" w14:textId="77777777" w:rsidR="00401C82" w:rsidRDefault="00000000">
      <w:pPr>
        <w:pStyle w:val="Paragraphedeliste2"/>
        <w:tabs>
          <w:tab w:val="num" w:pos="12"/>
        </w:tabs>
        <w:spacing w:line="276" w:lineRule="auto"/>
        <w:ind w:left="0"/>
        <w:contextualSpacing/>
        <w:jc w:val="both"/>
        <w:rPr>
          <w:rFonts w:asciiTheme="minorHAnsi" w:hAnsiTheme="minorHAnsi" w:cstheme="minorBidi"/>
          <w:b/>
          <w:bCs/>
          <w:sz w:val="22"/>
          <w:szCs w:val="22"/>
        </w:rPr>
      </w:pPr>
      <w:r>
        <w:rPr>
          <w:rFonts w:ascii="Calibri" w:hAnsi="Calibri" w:cs="Calibri"/>
          <w:b/>
          <w:bCs/>
          <w:sz w:val="22"/>
          <w:szCs w:val="22"/>
        </w:rPr>
        <w:t>Livrable D0-0 :</w:t>
      </w:r>
    </w:p>
    <w:p w14:paraId="1137D5F9" w14:textId="77777777" w:rsidR="00401C82" w:rsidRDefault="00000000">
      <w:pPr>
        <w:pStyle w:val="Paragraphedeliste2"/>
        <w:numPr>
          <w:ilvl w:val="0"/>
          <w:numId w:val="35"/>
        </w:numPr>
        <w:tabs>
          <w:tab w:val="clear" w:pos="720"/>
          <w:tab w:val="num" w:pos="12"/>
        </w:tabs>
        <w:spacing w:line="276" w:lineRule="auto"/>
        <w:contextualSpacing/>
        <w:jc w:val="both"/>
        <w:rPr>
          <w:rFonts w:asciiTheme="minorHAnsi" w:hAnsiTheme="minorHAnsi" w:cstheme="minorBidi"/>
          <w:sz w:val="22"/>
          <w:szCs w:val="22"/>
        </w:rPr>
      </w:pPr>
      <w:r>
        <w:rPr>
          <w:rFonts w:ascii="Calibri" w:hAnsi="Calibri" w:cs="Calibri"/>
          <w:sz w:val="22"/>
          <w:szCs w:val="22"/>
        </w:rPr>
        <w:t>Note de démarrage de mission et plan de travail détaillé, incluant le calendrier optimisé, la méthodologie, les dépendances entre actions, le dispositif de coordination et les modalités de validation.</w:t>
      </w:r>
    </w:p>
    <w:p w14:paraId="26185D5E" w14:textId="77777777" w:rsidR="00401C82" w:rsidRDefault="00000000">
      <w:pPr>
        <w:pStyle w:val="Paragraphedeliste2"/>
        <w:tabs>
          <w:tab w:val="num" w:pos="12"/>
        </w:tabs>
        <w:spacing w:line="276" w:lineRule="auto"/>
        <w:ind w:left="0"/>
        <w:contextualSpacing/>
        <w:jc w:val="both"/>
        <w:rPr>
          <w:rFonts w:ascii="Calibri" w:hAnsi="Calibri" w:cs="Calibri"/>
          <w:b/>
          <w:bCs/>
          <w:sz w:val="22"/>
          <w:szCs w:val="22"/>
        </w:rPr>
      </w:pPr>
      <w:r>
        <w:rPr>
          <w:rFonts w:ascii="Calibri" w:hAnsi="Calibri" w:cs="Calibri"/>
          <w:b/>
          <w:bCs/>
          <w:sz w:val="22"/>
          <w:szCs w:val="22"/>
        </w:rPr>
        <w:t>Livrable D0-1 :</w:t>
      </w:r>
    </w:p>
    <w:p w14:paraId="0FC2A390" w14:textId="77777777" w:rsidR="00401C82" w:rsidRDefault="00000000">
      <w:pPr>
        <w:pStyle w:val="Paragraphedeliste2"/>
        <w:numPr>
          <w:ilvl w:val="0"/>
          <w:numId w:val="1"/>
        </w:numPr>
        <w:tabs>
          <w:tab w:val="num" w:pos="12"/>
        </w:tabs>
        <w:spacing w:line="276" w:lineRule="auto"/>
        <w:contextualSpacing/>
        <w:jc w:val="both"/>
        <w:rPr>
          <w:rFonts w:ascii="Calibri" w:hAnsi="Calibri" w:cs="Calibri"/>
          <w:sz w:val="22"/>
          <w:szCs w:val="22"/>
        </w:rPr>
      </w:pPr>
      <w:r>
        <w:rPr>
          <w:rFonts w:ascii="Calibri" w:hAnsi="Calibri" w:cs="Calibri"/>
          <w:sz w:val="22"/>
          <w:szCs w:val="22"/>
        </w:rPr>
        <w:t>Compte rendu de la réunion de lancement (objectifs, rôles, jalons, circuits de validation).</w:t>
      </w:r>
    </w:p>
    <w:p w14:paraId="39097892" w14:textId="77777777" w:rsidR="00401C82" w:rsidRDefault="00401C82">
      <w:pPr>
        <w:pStyle w:val="Paragraphedeliste2"/>
        <w:tabs>
          <w:tab w:val="num" w:pos="12"/>
        </w:tabs>
        <w:spacing w:line="276" w:lineRule="auto"/>
        <w:ind w:left="0"/>
        <w:contextualSpacing/>
        <w:jc w:val="both"/>
        <w:rPr>
          <w:rFonts w:ascii="Calibri" w:hAnsi="Calibri" w:cs="Calibri"/>
          <w:sz w:val="22"/>
          <w:szCs w:val="22"/>
        </w:rPr>
      </w:pPr>
    </w:p>
    <w:p w14:paraId="3B6347CA" w14:textId="77777777" w:rsidR="00401C82" w:rsidRDefault="00000000">
      <w:pPr>
        <w:pStyle w:val="Paragraphedeliste2"/>
        <w:tabs>
          <w:tab w:val="num" w:pos="12"/>
        </w:tabs>
        <w:spacing w:line="276" w:lineRule="auto"/>
        <w:ind w:left="0"/>
        <w:contextualSpacing/>
        <w:jc w:val="both"/>
        <w:rPr>
          <w:rFonts w:asciiTheme="minorHAnsi" w:hAnsiTheme="minorHAnsi" w:cstheme="minorBidi"/>
          <w:sz w:val="22"/>
          <w:szCs w:val="22"/>
        </w:rPr>
      </w:pPr>
      <w:r>
        <w:br/>
      </w:r>
      <w:r>
        <w:rPr>
          <w:rFonts w:asciiTheme="minorHAnsi" w:hAnsiTheme="minorHAnsi" w:cstheme="minorBidi"/>
          <w:b/>
          <w:bCs/>
          <w:sz w:val="22"/>
          <w:szCs w:val="22"/>
          <w:u w:val="single"/>
        </w:rPr>
        <w:t>Phase I : Action 1 – Diagnostic stratégique « Feuille de route carbone mangroves »</w:t>
      </w:r>
    </w:p>
    <w:p w14:paraId="6AC5E68C"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proofErr w:type="gramStart"/>
      <w:r>
        <w:rPr>
          <w:rFonts w:asciiTheme="minorHAnsi" w:hAnsiTheme="minorHAnsi" w:cstheme="minorBidi"/>
          <w:b/>
          <w:bCs/>
          <w:sz w:val="22"/>
          <w:szCs w:val="22"/>
        </w:rPr>
        <w:t>Objectif:</w:t>
      </w:r>
      <w:proofErr w:type="gramEnd"/>
      <w:r>
        <w:br/>
      </w:r>
      <w:r>
        <w:rPr>
          <w:rFonts w:asciiTheme="minorHAnsi" w:hAnsiTheme="minorHAnsi" w:cstheme="minorBidi"/>
          <w:sz w:val="22"/>
          <w:szCs w:val="22"/>
        </w:rPr>
        <w:t>Élaborer une feuille de route nationale 2025–2035 permettant de structurer, prioriser et séquencer le développement de projets de carbone bleu (mangroves) en Haïti, en intégrant les dimensions institutionnelles, juridiques, foncières, MRV et financières nécessaires à l’accès aux marchés carbone volontaires et à l’Article 6 de l’Accord de Paris.</w:t>
      </w:r>
    </w:p>
    <w:p w14:paraId="452A84B7" w14:textId="77777777" w:rsidR="00401C82" w:rsidRDefault="00401C82">
      <w:pPr>
        <w:pStyle w:val="Paragraphedeliste2"/>
        <w:spacing w:line="276" w:lineRule="auto"/>
        <w:ind w:left="0"/>
        <w:contextualSpacing/>
        <w:jc w:val="both"/>
      </w:pPr>
    </w:p>
    <w:p w14:paraId="0B324410"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hAnsiTheme="minorHAnsi" w:cstheme="minorBidi"/>
          <w:b/>
          <w:bCs/>
          <w:sz w:val="22"/>
          <w:szCs w:val="22"/>
        </w:rPr>
        <w:t>Phase A1-0 – Cadrage et mobilisation (Mois 1–2)</w:t>
      </w:r>
      <w:r>
        <w:br/>
      </w:r>
      <w:r>
        <w:rPr>
          <w:rFonts w:asciiTheme="minorHAnsi" w:hAnsiTheme="minorHAnsi" w:cstheme="minorBidi"/>
          <w:sz w:val="22"/>
          <w:szCs w:val="22"/>
        </w:rPr>
        <w:t xml:space="preserve">Organisation d’un atelier multipartite de cadrage associant le </w:t>
      </w:r>
      <w:proofErr w:type="gramStart"/>
      <w:r>
        <w:rPr>
          <w:rFonts w:asciiTheme="minorHAnsi" w:hAnsiTheme="minorHAnsi" w:cstheme="minorBidi"/>
          <w:sz w:val="22"/>
          <w:szCs w:val="22"/>
        </w:rPr>
        <w:t>Ministère de l’Environnement</w:t>
      </w:r>
      <w:proofErr w:type="gramEnd"/>
      <w:r>
        <w:rPr>
          <w:rFonts w:asciiTheme="minorHAnsi" w:hAnsiTheme="minorHAnsi" w:cstheme="minorBidi"/>
          <w:sz w:val="22"/>
          <w:szCs w:val="22"/>
        </w:rPr>
        <w:t xml:space="preserv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xml:space="preserve">), l’Agence Nationale des Aires Protégées (ANAP), l’Autorité Nationale Désignée d’Haïti (ANDH), le </w:t>
      </w:r>
      <w:r>
        <w:rPr>
          <w:rFonts w:asciiTheme="minorHAnsi" w:hAnsiTheme="minorHAnsi" w:cstheme="minorBidi"/>
          <w:sz w:val="22"/>
          <w:szCs w:val="22"/>
        </w:rPr>
        <w:lastRenderedPageBreak/>
        <w:t>Fonds Haïtien pour la Biodiversité (FHB), la Délégation de l’Union européenne (DUE) et les organisations de la société civile concernées.</w:t>
      </w:r>
    </w:p>
    <w:p w14:paraId="2269DCA7"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Cette phase vise à :</w:t>
      </w:r>
    </w:p>
    <w:p w14:paraId="5242A70B" w14:textId="77777777" w:rsidR="00401C82" w:rsidRDefault="00000000">
      <w:pPr>
        <w:pStyle w:val="Paragraphedeliste2"/>
        <w:numPr>
          <w:ilvl w:val="0"/>
          <w:numId w:val="27"/>
        </w:numPr>
        <w:spacing w:line="276" w:lineRule="auto"/>
        <w:contextualSpacing/>
        <w:jc w:val="both"/>
      </w:pPr>
      <w:r>
        <w:rPr>
          <w:rFonts w:asciiTheme="minorHAnsi" w:hAnsiTheme="minorHAnsi" w:cstheme="minorBidi"/>
          <w:sz w:val="22"/>
          <w:szCs w:val="22"/>
        </w:rPr>
        <w:t>Etablir un registre structuré des parties prenantes (institutions, communautés, bailleurs, acteurs techniques) et analyser leurs rôles, intérêts et contraintes ;</w:t>
      </w:r>
    </w:p>
    <w:p w14:paraId="620F298F" w14:textId="77777777" w:rsidR="00401C82" w:rsidRDefault="00000000">
      <w:pPr>
        <w:pStyle w:val="Paragraphedeliste2"/>
        <w:numPr>
          <w:ilvl w:val="0"/>
          <w:numId w:val="27"/>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Définir les objectifs opérationnels de la feuille de route et les attentes institutionnelles ;</w:t>
      </w:r>
    </w:p>
    <w:p w14:paraId="7ABA479C" w14:textId="77777777" w:rsidR="00401C82" w:rsidRDefault="00000000">
      <w:pPr>
        <w:pStyle w:val="Paragraphedeliste2"/>
        <w:numPr>
          <w:ilvl w:val="0"/>
          <w:numId w:val="27"/>
        </w:numPr>
        <w:spacing w:line="276" w:lineRule="auto"/>
        <w:jc w:val="both"/>
        <w:rPr>
          <w:rFonts w:asciiTheme="minorHAnsi" w:hAnsiTheme="minorHAnsi" w:cstheme="minorBidi"/>
          <w:sz w:val="22"/>
          <w:szCs w:val="22"/>
        </w:rPr>
      </w:pPr>
      <w:r>
        <w:rPr>
          <w:rFonts w:asciiTheme="minorHAnsi" w:hAnsiTheme="minorHAnsi" w:cstheme="minorBidi"/>
          <w:sz w:val="22"/>
          <w:szCs w:val="22"/>
        </w:rPr>
        <w:t>Convenir d’un protocole de validation (jalons, modalités de revue, responsabilités et circuits d’approbation) afin de garantir l’appropriation nationale des livrables.</w:t>
      </w:r>
    </w:p>
    <w:p w14:paraId="575A24C1" w14:textId="77777777" w:rsidR="00401C82" w:rsidRDefault="00401C82">
      <w:pPr>
        <w:pStyle w:val="Paragraphedeliste2"/>
        <w:spacing w:line="276" w:lineRule="auto"/>
        <w:ind w:left="0"/>
        <w:jc w:val="both"/>
        <w:rPr>
          <w:rFonts w:asciiTheme="minorHAnsi" w:eastAsiaTheme="minorEastAsia" w:hAnsiTheme="minorHAnsi" w:cstheme="minorBidi"/>
        </w:rPr>
      </w:pPr>
    </w:p>
    <w:p w14:paraId="3840EE55" w14:textId="77777777" w:rsidR="00401C82" w:rsidRDefault="00000000">
      <w:pPr>
        <w:pStyle w:val="Paragraphedeliste2"/>
        <w:spacing w:line="276" w:lineRule="auto"/>
        <w:ind w:left="0"/>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D1-0 :</w:t>
      </w:r>
    </w:p>
    <w:p w14:paraId="2E041423" w14:textId="77777777" w:rsidR="00401C82" w:rsidRDefault="00000000">
      <w:pPr>
        <w:pStyle w:val="Paragraphedeliste2"/>
        <w:numPr>
          <w:ilvl w:val="0"/>
          <w:numId w:val="8"/>
        </w:numPr>
        <w:spacing w:line="276" w:lineRule="auto"/>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Compte rendu de l’atelier multipartite de cadrage associant le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 l’ANAP, l’ANDH, le FHB, la DUE et les organisations de la société civile.</w:t>
      </w:r>
    </w:p>
    <w:p w14:paraId="6D8553B6" w14:textId="77777777" w:rsidR="00401C82" w:rsidRDefault="00000000">
      <w:pPr>
        <w:pStyle w:val="Paragraphedeliste2"/>
        <w:spacing w:line="276" w:lineRule="auto"/>
        <w:ind w:left="0"/>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D1-1 :</w:t>
      </w:r>
    </w:p>
    <w:p w14:paraId="2EE95485" w14:textId="77777777" w:rsidR="00401C82" w:rsidRDefault="00000000">
      <w:pPr>
        <w:pStyle w:val="Paragraphedeliste2"/>
        <w:numPr>
          <w:ilvl w:val="0"/>
          <w:numId w:val="7"/>
        </w:numPr>
        <w:spacing w:line="276" w:lineRule="auto"/>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Registre structuré et consolidé des parties prenantes (institutions, communautés, bailleurs, acteurs techniques), incluant l’analyse de leurs rôles, intérêts et contraintes.</w:t>
      </w:r>
    </w:p>
    <w:p w14:paraId="485C3F45" w14:textId="77777777" w:rsidR="00401C82" w:rsidRDefault="00000000">
      <w:pPr>
        <w:pStyle w:val="Paragraphedeliste2"/>
        <w:spacing w:line="276" w:lineRule="auto"/>
        <w:ind w:left="0"/>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D1-2 :</w:t>
      </w:r>
    </w:p>
    <w:p w14:paraId="15F40273" w14:textId="77777777" w:rsidR="00401C82" w:rsidRDefault="00000000">
      <w:pPr>
        <w:pStyle w:val="Paragraphedeliste2"/>
        <w:numPr>
          <w:ilvl w:val="0"/>
          <w:numId w:val="6"/>
        </w:numPr>
        <w:spacing w:line="276" w:lineRule="auto"/>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Protocole de validation institutionnelle des livrables, précisant les jalons, modalités de revue, responsabilités et circuits d’approbation.</w:t>
      </w:r>
    </w:p>
    <w:p w14:paraId="4D0EBB16" w14:textId="77777777" w:rsidR="00401C82" w:rsidRDefault="00000000">
      <w:pPr>
        <w:pStyle w:val="Paragraphedeliste2"/>
        <w:spacing w:line="276" w:lineRule="auto"/>
        <w:ind w:left="0"/>
        <w:jc w:val="both"/>
        <w:rPr>
          <w:rFonts w:asciiTheme="minorHAnsi" w:hAnsiTheme="minorHAnsi" w:cstheme="minorBidi"/>
          <w:sz w:val="22"/>
          <w:szCs w:val="22"/>
        </w:rPr>
      </w:pPr>
      <w:r>
        <w:br/>
      </w:r>
    </w:p>
    <w:p w14:paraId="492C1581"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rPr>
        <w:t xml:space="preserve">Phase A1-1 – Gap </w:t>
      </w:r>
      <w:proofErr w:type="spellStart"/>
      <w:r>
        <w:rPr>
          <w:rFonts w:asciiTheme="minorHAnsi" w:hAnsiTheme="minorHAnsi" w:cstheme="minorBidi"/>
          <w:b/>
          <w:bCs/>
          <w:sz w:val="22"/>
          <w:szCs w:val="22"/>
        </w:rPr>
        <w:t>analysis</w:t>
      </w:r>
      <w:proofErr w:type="spellEnd"/>
      <w:r>
        <w:rPr>
          <w:rFonts w:asciiTheme="minorHAnsi" w:hAnsiTheme="minorHAnsi" w:cstheme="minorBidi"/>
          <w:b/>
          <w:bCs/>
          <w:sz w:val="22"/>
          <w:szCs w:val="22"/>
        </w:rPr>
        <w:t xml:space="preserve"> institutionnelle, juridique, MRV et tenure (Mois 3–6)</w:t>
      </w:r>
      <w:r>
        <w:br/>
      </w:r>
      <w:r>
        <w:br/>
      </w:r>
      <w:r>
        <w:rPr>
          <w:rFonts w:asciiTheme="minorHAnsi" w:eastAsiaTheme="minorEastAsia" w:hAnsiTheme="minorHAnsi" w:cstheme="minorBidi"/>
          <w:sz w:val="22"/>
          <w:szCs w:val="22"/>
        </w:rPr>
        <w:t xml:space="preserve">Réalisation d’une analyse approfondie des lacunes structurelles freinant le développement de projets carbone mangroves bancables, </w:t>
      </w:r>
      <w:r>
        <w:rPr>
          <w:rFonts w:asciiTheme="minorHAnsi" w:eastAsiaTheme="minorEastAsia" w:hAnsiTheme="minorHAnsi" w:cstheme="minorBidi"/>
          <w:b/>
          <w:bCs/>
          <w:sz w:val="22"/>
          <w:szCs w:val="22"/>
        </w:rPr>
        <w:t>associée à une analyse des besoins de renforcement des capacités institutionnelles et techniques nécessaires à leur mise en œuvre durable par les acteurs nationaux</w:t>
      </w:r>
      <w:r>
        <w:rPr>
          <w:rFonts w:asciiTheme="minorHAnsi" w:eastAsiaTheme="minorEastAsia" w:hAnsiTheme="minorHAnsi" w:cstheme="minorBidi"/>
          <w:sz w:val="22"/>
          <w:szCs w:val="22"/>
        </w:rPr>
        <w:t>.</w:t>
      </w:r>
      <w:r>
        <w:br/>
      </w:r>
      <w:r>
        <w:br/>
      </w:r>
      <w:r>
        <w:rPr>
          <w:rFonts w:asciiTheme="minorHAnsi" w:hAnsiTheme="minorHAnsi" w:cstheme="minorBidi"/>
          <w:sz w:val="22"/>
          <w:szCs w:val="22"/>
        </w:rPr>
        <w:t>Cette analyse couvre :</w:t>
      </w:r>
    </w:p>
    <w:p w14:paraId="3B41DFE3" w14:textId="77777777" w:rsidR="00401C82" w:rsidRDefault="00000000">
      <w:pPr>
        <w:pStyle w:val="Paragraphedeliste2"/>
        <w:numPr>
          <w:ilvl w:val="0"/>
          <w:numId w:val="28"/>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La gouvernance carbone nationale (mandats institutionnels, coordination </w:t>
      </w:r>
      <w:proofErr w:type="spellStart"/>
      <w:r>
        <w:rPr>
          <w:rFonts w:asciiTheme="minorHAnsi" w:eastAsiaTheme="minorEastAsia" w:hAnsiTheme="minorHAnsi" w:cstheme="minorBidi"/>
          <w:sz w:val="22"/>
          <w:szCs w:val="22"/>
        </w:rPr>
        <w:t>inter-ministérielle</w:t>
      </w:r>
      <w:proofErr w:type="spellEnd"/>
      <w:r>
        <w:rPr>
          <w:rFonts w:asciiTheme="minorHAnsi" w:eastAsiaTheme="minorEastAsia" w:hAnsiTheme="minorHAnsi" w:cstheme="minorBidi"/>
          <w:sz w:val="22"/>
          <w:szCs w:val="22"/>
        </w:rPr>
        <w:t xml:space="preserve">, articulation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–MAE–MEF-FHB–ANAP–ANDH), y compris l’évaluation des capacités actuelles des institutions à piloter, coordonner et mettre en œuvre des projets carbone et des mécanismes Article 6 ;</w:t>
      </w:r>
    </w:p>
    <w:p w14:paraId="6936E220" w14:textId="77777777" w:rsidR="00401C82" w:rsidRDefault="00000000">
      <w:pPr>
        <w:pStyle w:val="Paragraphedeliste2"/>
        <w:numPr>
          <w:ilvl w:val="0"/>
          <w:numId w:val="28"/>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Les capacités MRV existantes et requises (données, QA/QC, lignes de base, suivi, vérification, exigences d’intégrité des standards VCM et Article 6), ainsi que l’identification des besoins en montée en compétence, outils et procédures pour assurer une gestion autonome du MRV ;</w:t>
      </w:r>
    </w:p>
    <w:p w14:paraId="798DDD95" w14:textId="77777777" w:rsidR="00401C82" w:rsidRDefault="00000000">
      <w:pPr>
        <w:pStyle w:val="Paragraphedeliste2"/>
        <w:numPr>
          <w:ilvl w:val="0"/>
          <w:numId w:val="28"/>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Les exigences de marché et de conformité (</w:t>
      </w:r>
      <w:proofErr w:type="spellStart"/>
      <w:r>
        <w:rPr>
          <w:rFonts w:asciiTheme="minorHAnsi" w:eastAsiaTheme="minorEastAsia" w:hAnsiTheme="minorHAnsi" w:cstheme="minorBidi"/>
          <w:sz w:val="22"/>
          <w:szCs w:val="22"/>
        </w:rPr>
        <w:t>additionalité</w:t>
      </w:r>
      <w:proofErr w:type="spellEnd"/>
      <w:r>
        <w:rPr>
          <w:rFonts w:asciiTheme="minorHAnsi" w:eastAsiaTheme="minorEastAsia" w:hAnsiTheme="minorHAnsi" w:cstheme="minorBidi"/>
          <w:sz w:val="22"/>
          <w:szCs w:val="22"/>
        </w:rPr>
        <w:t>, permanence, fuites/</w:t>
      </w:r>
      <w:proofErr w:type="spellStart"/>
      <w:r>
        <w:rPr>
          <w:rFonts w:asciiTheme="minorHAnsi" w:eastAsiaTheme="minorEastAsia" w:hAnsiTheme="minorHAnsi" w:cstheme="minorBidi"/>
          <w:sz w:val="22"/>
          <w:szCs w:val="22"/>
        </w:rPr>
        <w:t>leakage</w:t>
      </w:r>
      <w:proofErr w:type="spellEnd"/>
      <w:r>
        <w:rPr>
          <w:rFonts w:asciiTheme="minorHAnsi" w:eastAsiaTheme="minorEastAsia" w:hAnsiTheme="minorHAnsi" w:cstheme="minorBidi"/>
          <w:sz w:val="22"/>
          <w:szCs w:val="22"/>
        </w:rPr>
        <w:t>, sauvegardes environnementales et sociales), et le niveau de compréhension et de maîtrise de ces exigences par les institutions nationales ;</w:t>
      </w:r>
    </w:p>
    <w:p w14:paraId="527A95EA" w14:textId="77777777" w:rsidR="00401C82" w:rsidRDefault="00000000">
      <w:pPr>
        <w:pStyle w:val="Paragraphedeliste"/>
        <w:numPr>
          <w:ilvl w:val="0"/>
          <w:numId w:val="28"/>
        </w:numPr>
        <w:spacing w:before="240" w:after="240" w:line="276"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lastRenderedPageBreak/>
        <w:t>Les droits d’usage sur les zones de mangroves (cartographie des risques, conflits potentiels, accès aux sites), incluant les capacités existantes à gérer et sécuriser ces enjeux dans un cadre de projets carbone ;</w:t>
      </w:r>
    </w:p>
    <w:p w14:paraId="43D6045B" w14:textId="77777777" w:rsidR="00401C82" w:rsidRDefault="00000000">
      <w:pPr>
        <w:pStyle w:val="Paragraphedeliste"/>
        <w:numPr>
          <w:ilvl w:val="0"/>
          <w:numId w:val="28"/>
        </w:numPr>
        <w:spacing w:before="240" w:after="240" w:line="276"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L’analyse des cadres de cogestion existants et des mécanismes actuels ou potentiels de partage des bénéfices carbone, ainsi que les capacités institutionnelles et communautaires à les mettre en œuvre, suivre et auditer.</w:t>
      </w:r>
    </w:p>
    <w:p w14:paraId="0471E271" w14:textId="77777777" w:rsidR="00401C82" w:rsidRDefault="00401C82">
      <w:pPr>
        <w:pStyle w:val="Paragraphedeliste2"/>
        <w:spacing w:line="276" w:lineRule="auto"/>
        <w:ind w:left="0"/>
        <w:contextualSpacing/>
        <w:jc w:val="both"/>
      </w:pPr>
    </w:p>
    <w:p w14:paraId="2008B230" w14:textId="77777777" w:rsidR="00401C82" w:rsidRDefault="00000000">
      <w:pPr>
        <w:pStyle w:val="Paragraphedeliste2"/>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D1-3 :</w:t>
      </w:r>
    </w:p>
    <w:p w14:paraId="08A8AA91" w14:textId="77777777" w:rsidR="00401C82" w:rsidRDefault="00000000">
      <w:pPr>
        <w:pStyle w:val="Paragraphedeliste2"/>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Rapport consolidé de gap </w:t>
      </w:r>
      <w:proofErr w:type="spellStart"/>
      <w:r>
        <w:rPr>
          <w:rFonts w:asciiTheme="minorHAnsi" w:eastAsiaTheme="minorEastAsia" w:hAnsiTheme="minorHAnsi" w:cstheme="minorBidi"/>
          <w:sz w:val="22"/>
          <w:szCs w:val="22"/>
        </w:rPr>
        <w:t>analysis</w:t>
      </w:r>
      <w:proofErr w:type="spellEnd"/>
      <w:r>
        <w:rPr>
          <w:rFonts w:asciiTheme="minorHAnsi" w:eastAsiaTheme="minorEastAsia" w:hAnsiTheme="minorHAnsi" w:cstheme="minorBidi"/>
          <w:sz w:val="22"/>
          <w:szCs w:val="22"/>
        </w:rPr>
        <w:t xml:space="preserve"> couvrant :</w:t>
      </w:r>
    </w:p>
    <w:p w14:paraId="49A428F5" w14:textId="77777777" w:rsidR="00401C82" w:rsidRDefault="00000000">
      <w:pPr>
        <w:pStyle w:val="Paragraphedeliste"/>
        <w:numPr>
          <w:ilvl w:val="0"/>
          <w:numId w:val="35"/>
        </w:numPr>
        <w:spacing w:before="240" w:after="240" w:line="276" w:lineRule="auto"/>
        <w:rPr>
          <w:rFonts w:asciiTheme="minorHAnsi" w:eastAsiaTheme="minorEastAsia" w:hAnsiTheme="minorHAnsi" w:cstheme="minorBidi"/>
          <w:sz w:val="22"/>
          <w:szCs w:val="22"/>
        </w:rPr>
      </w:pPr>
      <w:proofErr w:type="gramStart"/>
      <w:r>
        <w:rPr>
          <w:rFonts w:asciiTheme="minorHAnsi" w:eastAsiaTheme="minorEastAsia" w:hAnsiTheme="minorHAnsi" w:cstheme="minorBidi"/>
          <w:sz w:val="22"/>
          <w:szCs w:val="22"/>
        </w:rPr>
        <w:t>la</w:t>
      </w:r>
      <w:proofErr w:type="gramEnd"/>
      <w:r>
        <w:rPr>
          <w:rFonts w:asciiTheme="minorHAnsi" w:eastAsiaTheme="minorEastAsia" w:hAnsiTheme="minorHAnsi" w:cstheme="minorBidi"/>
          <w:sz w:val="22"/>
          <w:szCs w:val="22"/>
        </w:rPr>
        <w:t xml:space="preserve"> gouvernance carbone nationale et la coordination interinstitutionnelle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–MAE–FHB–ANAP–ANDH), incluant une évaluation des capacités institutionnelles et recommandations de renforcement associés ;</w:t>
      </w:r>
    </w:p>
    <w:p w14:paraId="39C42641" w14:textId="77777777" w:rsidR="00401C82" w:rsidRDefault="00000000">
      <w:pPr>
        <w:pStyle w:val="Paragraphedeliste"/>
        <w:numPr>
          <w:ilvl w:val="0"/>
          <w:numId w:val="35"/>
        </w:numPr>
        <w:spacing w:before="240" w:after="240" w:line="276" w:lineRule="auto"/>
        <w:rPr>
          <w:rFonts w:asciiTheme="minorHAnsi" w:eastAsiaTheme="minorEastAsia" w:hAnsiTheme="minorHAnsi" w:cstheme="minorBidi"/>
          <w:sz w:val="22"/>
          <w:szCs w:val="22"/>
        </w:rPr>
      </w:pPr>
      <w:proofErr w:type="gramStart"/>
      <w:r>
        <w:rPr>
          <w:rFonts w:asciiTheme="minorHAnsi" w:eastAsiaTheme="minorEastAsia" w:hAnsiTheme="minorHAnsi" w:cstheme="minorBidi"/>
          <w:sz w:val="22"/>
          <w:szCs w:val="22"/>
        </w:rPr>
        <w:t>les</w:t>
      </w:r>
      <w:proofErr w:type="gramEnd"/>
      <w:r>
        <w:rPr>
          <w:rFonts w:asciiTheme="minorHAnsi" w:eastAsiaTheme="minorEastAsia" w:hAnsiTheme="minorHAnsi" w:cstheme="minorBidi"/>
          <w:sz w:val="22"/>
          <w:szCs w:val="22"/>
        </w:rPr>
        <w:t xml:space="preserve"> capacités MRV existantes et requises (données, QA/QC, lignes de base, suivi, vérification, exigences d’intégrité VCM et Article 6), ainsi que les écarts de compétences, outils et procédures à combler ;</w:t>
      </w:r>
    </w:p>
    <w:p w14:paraId="34FC70FE" w14:textId="77777777" w:rsidR="00401C82" w:rsidRDefault="00000000">
      <w:pPr>
        <w:pStyle w:val="Paragraphedeliste"/>
        <w:numPr>
          <w:ilvl w:val="0"/>
          <w:numId w:val="35"/>
        </w:numPr>
        <w:spacing w:before="240" w:after="240" w:line="276" w:lineRule="auto"/>
        <w:rPr>
          <w:rFonts w:asciiTheme="minorHAnsi" w:eastAsiaTheme="minorEastAsia" w:hAnsiTheme="minorHAnsi" w:cstheme="minorBidi"/>
          <w:sz w:val="22"/>
          <w:szCs w:val="22"/>
        </w:rPr>
      </w:pPr>
      <w:proofErr w:type="gramStart"/>
      <w:r>
        <w:rPr>
          <w:rFonts w:asciiTheme="minorHAnsi" w:eastAsiaTheme="minorEastAsia" w:hAnsiTheme="minorHAnsi" w:cstheme="minorBidi"/>
          <w:sz w:val="22"/>
          <w:szCs w:val="22"/>
        </w:rPr>
        <w:t>les</w:t>
      </w:r>
      <w:proofErr w:type="gramEnd"/>
      <w:r>
        <w:rPr>
          <w:rFonts w:asciiTheme="minorHAnsi" w:eastAsiaTheme="minorEastAsia" w:hAnsiTheme="minorHAnsi" w:cstheme="minorBidi"/>
          <w:sz w:val="22"/>
          <w:szCs w:val="22"/>
        </w:rPr>
        <w:t xml:space="preserve"> exigences de marché et de conformité (</w:t>
      </w:r>
      <w:proofErr w:type="spellStart"/>
      <w:r>
        <w:rPr>
          <w:rFonts w:asciiTheme="minorHAnsi" w:eastAsiaTheme="minorEastAsia" w:hAnsiTheme="minorHAnsi" w:cstheme="minorBidi"/>
          <w:sz w:val="22"/>
          <w:szCs w:val="22"/>
        </w:rPr>
        <w:t>additionalité</w:t>
      </w:r>
      <w:proofErr w:type="spellEnd"/>
      <w:r>
        <w:rPr>
          <w:rFonts w:asciiTheme="minorHAnsi" w:eastAsiaTheme="minorEastAsia" w:hAnsiTheme="minorHAnsi" w:cstheme="minorBidi"/>
          <w:sz w:val="22"/>
          <w:szCs w:val="22"/>
        </w:rPr>
        <w:t>, permanence, fuites, sauvegardes environnementales et sociales), et leur appropriation par les acteurs nationaux ;</w:t>
      </w:r>
    </w:p>
    <w:p w14:paraId="538790E5" w14:textId="77777777" w:rsidR="00401C82" w:rsidRDefault="00000000">
      <w:pPr>
        <w:pStyle w:val="Paragraphedeliste"/>
        <w:numPr>
          <w:ilvl w:val="0"/>
          <w:numId w:val="35"/>
        </w:numPr>
        <w:spacing w:before="240" w:after="240" w:line="276" w:lineRule="auto"/>
        <w:rPr>
          <w:rFonts w:asciiTheme="minorHAnsi" w:eastAsiaTheme="minorEastAsia" w:hAnsiTheme="minorHAnsi" w:cstheme="minorBidi"/>
          <w:sz w:val="22"/>
          <w:szCs w:val="22"/>
        </w:rPr>
      </w:pPr>
      <w:proofErr w:type="gramStart"/>
      <w:r>
        <w:rPr>
          <w:rFonts w:asciiTheme="minorHAnsi" w:eastAsiaTheme="minorEastAsia" w:hAnsiTheme="minorHAnsi" w:cstheme="minorBidi"/>
          <w:sz w:val="22"/>
          <w:szCs w:val="22"/>
        </w:rPr>
        <w:t>la</w:t>
      </w:r>
      <w:proofErr w:type="gramEnd"/>
      <w:r>
        <w:rPr>
          <w:rFonts w:asciiTheme="minorHAnsi" w:eastAsiaTheme="minorEastAsia" w:hAnsiTheme="minorHAnsi" w:cstheme="minorBidi"/>
          <w:sz w:val="22"/>
          <w:szCs w:val="22"/>
        </w:rPr>
        <w:t xml:space="preserve"> tenure foncière et les droits d’usage des zones de mangroves, y compris les capacités et recommandations de gestion, de sécurisation et de résolution des risques associés ;</w:t>
      </w:r>
    </w:p>
    <w:p w14:paraId="12CE8C1E" w14:textId="77777777" w:rsidR="00401C82" w:rsidRDefault="00000000">
      <w:pPr>
        <w:pStyle w:val="Paragraphedeliste"/>
        <w:numPr>
          <w:ilvl w:val="0"/>
          <w:numId w:val="35"/>
        </w:numPr>
        <w:spacing w:before="240" w:after="240" w:line="276" w:lineRule="auto"/>
        <w:rPr>
          <w:rFonts w:asciiTheme="minorHAnsi" w:hAnsiTheme="minorHAnsi" w:cstheme="minorBidi"/>
          <w:sz w:val="22"/>
          <w:szCs w:val="22"/>
        </w:rPr>
      </w:pPr>
      <w:proofErr w:type="gramStart"/>
      <w:r>
        <w:rPr>
          <w:rFonts w:asciiTheme="minorHAnsi" w:eastAsiaTheme="minorEastAsia" w:hAnsiTheme="minorHAnsi" w:cstheme="minorBidi"/>
          <w:sz w:val="22"/>
          <w:szCs w:val="22"/>
        </w:rPr>
        <w:t>les</w:t>
      </w:r>
      <w:proofErr w:type="gramEnd"/>
      <w:r>
        <w:rPr>
          <w:rFonts w:asciiTheme="minorHAnsi" w:eastAsiaTheme="minorEastAsia" w:hAnsiTheme="minorHAnsi" w:cstheme="minorBidi"/>
          <w:sz w:val="22"/>
          <w:szCs w:val="22"/>
        </w:rPr>
        <w:t xml:space="preserve"> cadres de cogestion existants et les mécanismes actuels ou potentiels de partage des bénéfices carbone, avec une analyse des capacités de mise en œuvre, de suivi et de contrôle.</w:t>
      </w:r>
      <w:r>
        <w:br/>
      </w:r>
    </w:p>
    <w:p w14:paraId="18E21618"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hAnsiTheme="minorHAnsi" w:cstheme="minorBidi"/>
          <w:b/>
          <w:bCs/>
          <w:sz w:val="22"/>
          <w:szCs w:val="22"/>
        </w:rPr>
        <w:t>Phase A1-2 – Conception de la feuille de route nationale 2025–2035 (Mois 6–9)</w:t>
      </w:r>
    </w:p>
    <w:p w14:paraId="34765D3A"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Élaboration de la feuille de route stratégique intégrant une vision à moyen et long terme pour le carbone mangroves.</w:t>
      </w:r>
    </w:p>
    <w:p w14:paraId="3BE350FD"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Cette phase comprend :</w:t>
      </w:r>
    </w:p>
    <w:p w14:paraId="1AA6C85D" w14:textId="77777777" w:rsidR="00401C82" w:rsidRDefault="00000000">
      <w:pPr>
        <w:pStyle w:val="Paragraphedeliste2"/>
        <w:numPr>
          <w:ilvl w:val="0"/>
          <w:numId w:val="37"/>
        </w:numPr>
        <w:spacing w:line="276" w:lineRule="auto"/>
        <w:contextualSpacing/>
        <w:jc w:val="both"/>
        <w:rPr>
          <w:rFonts w:asciiTheme="minorHAnsi" w:eastAsiaTheme="minorEastAsia" w:hAnsiTheme="minorHAnsi" w:cstheme="minorBidi"/>
          <w:sz w:val="22"/>
          <w:szCs w:val="22"/>
        </w:rPr>
      </w:pPr>
      <w:r>
        <w:rPr>
          <w:rFonts w:asciiTheme="minorHAnsi" w:hAnsiTheme="minorHAnsi" w:cstheme="minorBidi"/>
          <w:sz w:val="22"/>
          <w:szCs w:val="22"/>
        </w:rPr>
        <w:t>La définition d’objectifs et de cibles nationales (hectares restaurés/protégés, trajectoires de v</w:t>
      </w:r>
      <w:r>
        <w:rPr>
          <w:rFonts w:asciiTheme="minorHAnsi" w:eastAsiaTheme="minorEastAsia" w:hAnsiTheme="minorHAnsi" w:cstheme="minorBidi"/>
          <w:sz w:val="22"/>
          <w:szCs w:val="22"/>
        </w:rPr>
        <w:t>olumes carbone, jalons de préparation et de mise en marché) ;</w:t>
      </w:r>
    </w:p>
    <w:p w14:paraId="0B615215" w14:textId="77777777" w:rsidR="00401C82" w:rsidRDefault="00000000">
      <w:pPr>
        <w:pStyle w:val="Paragraphedeliste2"/>
        <w:numPr>
          <w:ilvl w:val="0"/>
          <w:numId w:val="37"/>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’estimation des coûts (restauration, MRV, gouvernance, transactions carbone) et des besoins de financement ;</w:t>
      </w:r>
    </w:p>
    <w:p w14:paraId="2F96AF3F" w14:textId="77777777" w:rsidR="00401C82" w:rsidRDefault="00000000">
      <w:pPr>
        <w:pStyle w:val="Paragraphedeliste2"/>
        <w:numPr>
          <w:ilvl w:val="0"/>
          <w:numId w:val="37"/>
        </w:numPr>
        <w:spacing w:line="276" w:lineRule="auto"/>
        <w:contextualSpacing/>
        <w:jc w:val="both"/>
        <w:rPr>
          <w:rFonts w:asciiTheme="minorHAnsi" w:hAnsiTheme="minorHAnsi" w:cstheme="minorBidi"/>
          <w:sz w:val="22"/>
          <w:szCs w:val="22"/>
        </w:rPr>
      </w:pPr>
      <w:r>
        <w:rPr>
          <w:rFonts w:asciiTheme="minorHAnsi" w:eastAsiaTheme="minorEastAsia" w:hAnsiTheme="minorHAnsi" w:cstheme="minorBidi"/>
          <w:sz w:val="22"/>
          <w:szCs w:val="22"/>
        </w:rPr>
        <w:t>Le sé</w:t>
      </w:r>
      <w:r>
        <w:rPr>
          <w:rFonts w:asciiTheme="minorHAnsi" w:hAnsiTheme="minorHAnsi" w:cstheme="minorBidi"/>
          <w:sz w:val="22"/>
          <w:szCs w:val="22"/>
        </w:rPr>
        <w:t>quençage opérationnel des actions et leur articulation avec les initiatives existantes (étude UE mangroves, PROBLUE, FVC, autres bailleurs) ;</w:t>
      </w:r>
    </w:p>
    <w:p w14:paraId="42CDBF88" w14:textId="77777777" w:rsidR="00401C82" w:rsidRDefault="00000000">
      <w:pPr>
        <w:pStyle w:val="Paragraphedeliste2"/>
        <w:numPr>
          <w:ilvl w:val="0"/>
          <w:numId w:val="37"/>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L’élaboration de recommandations foncières et contractuelles, incluant :</w:t>
      </w:r>
    </w:p>
    <w:p w14:paraId="6A398E5C" w14:textId="77777777" w:rsidR="00401C82" w:rsidRDefault="00000000">
      <w:pPr>
        <w:pStyle w:val="Paragraphedeliste2"/>
        <w:numPr>
          <w:ilvl w:val="1"/>
          <w:numId w:val="37"/>
        </w:numPr>
        <w:tabs>
          <w:tab w:val="num" w:pos="12"/>
        </w:tabs>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Une note juridique sur le partage des revenus carbone ;</w:t>
      </w:r>
    </w:p>
    <w:p w14:paraId="3D1743FA" w14:textId="77777777" w:rsidR="00401C82" w:rsidRDefault="00000000">
      <w:pPr>
        <w:pStyle w:val="Paragraphedeliste2"/>
        <w:numPr>
          <w:ilvl w:val="1"/>
          <w:numId w:val="37"/>
        </w:numPr>
        <w:tabs>
          <w:tab w:val="num" w:pos="12"/>
        </w:tabs>
        <w:spacing w:line="276" w:lineRule="auto"/>
        <w:contextualSpacing/>
        <w:jc w:val="both"/>
        <w:rPr>
          <w:rFonts w:asciiTheme="minorHAnsi" w:hAnsiTheme="minorHAnsi" w:cstheme="minorBidi"/>
          <w:i/>
          <w:iCs/>
          <w:sz w:val="22"/>
          <w:szCs w:val="22"/>
        </w:rPr>
      </w:pPr>
      <w:r>
        <w:rPr>
          <w:rFonts w:asciiTheme="minorHAnsi" w:hAnsiTheme="minorHAnsi" w:cstheme="minorBidi"/>
          <w:sz w:val="22"/>
          <w:szCs w:val="22"/>
        </w:rPr>
        <w:t xml:space="preserve">Des modèles de conventions de cogestion communautaire et de principes de consentement libre, préalable et éclairé (FPIC), en formats éditables </w:t>
      </w:r>
      <w:r>
        <w:rPr>
          <w:rFonts w:asciiTheme="minorHAnsi" w:hAnsiTheme="minorHAnsi" w:cstheme="minorBidi"/>
          <w:i/>
          <w:iCs/>
          <w:sz w:val="22"/>
          <w:szCs w:val="22"/>
        </w:rPr>
        <w:t xml:space="preserve">(les données </w:t>
      </w:r>
      <w:r>
        <w:rPr>
          <w:rFonts w:asciiTheme="minorHAnsi" w:hAnsiTheme="minorHAnsi" w:cstheme="minorBidi"/>
          <w:i/>
          <w:iCs/>
          <w:sz w:val="22"/>
          <w:szCs w:val="22"/>
        </w:rPr>
        <w:lastRenderedPageBreak/>
        <w:t>foncières elles-mêmes et les actes de validations sont à la charge du Gouvernement et ne sont pas produites par le Consultant)</w:t>
      </w:r>
    </w:p>
    <w:p w14:paraId="40979E85" w14:textId="77777777" w:rsidR="00401C82" w:rsidRDefault="00401C82">
      <w:pPr>
        <w:pStyle w:val="Paragraphedeliste2"/>
        <w:tabs>
          <w:tab w:val="num" w:pos="12"/>
        </w:tabs>
        <w:spacing w:line="276" w:lineRule="auto"/>
        <w:ind w:left="0"/>
        <w:contextualSpacing/>
        <w:jc w:val="both"/>
        <w:rPr>
          <w:rFonts w:asciiTheme="minorHAnsi" w:eastAsiaTheme="minorEastAsia" w:hAnsiTheme="minorHAnsi" w:cstheme="minorBidi"/>
        </w:rPr>
      </w:pPr>
    </w:p>
    <w:p w14:paraId="13A91FD9" w14:textId="77777777" w:rsidR="00401C82" w:rsidRDefault="00000000">
      <w:pPr>
        <w:pStyle w:val="Paragraphedeliste2"/>
        <w:tabs>
          <w:tab w:val="num" w:pos="12"/>
        </w:tabs>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D1-4 :</w:t>
      </w:r>
    </w:p>
    <w:p w14:paraId="5A377EE7" w14:textId="77777777" w:rsidR="00401C82" w:rsidRDefault="00000000">
      <w:pPr>
        <w:pStyle w:val="Paragraphedeliste2"/>
        <w:tabs>
          <w:tab w:val="num" w:pos="12"/>
        </w:tabs>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Projet de feuille de route nationale « carbone mangroves » 2025–2035 intégrant :</w:t>
      </w:r>
    </w:p>
    <w:p w14:paraId="1E0C512A" w14:textId="77777777" w:rsidR="00401C82" w:rsidRDefault="00000000">
      <w:pPr>
        <w:pStyle w:val="Paragraphedeliste2"/>
        <w:numPr>
          <w:ilvl w:val="0"/>
          <w:numId w:val="10"/>
        </w:numPr>
        <w:tabs>
          <w:tab w:val="num" w:pos="12"/>
        </w:tabs>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Objectifs et cibles nationales (hectares, trajectoires de volumes carbone, jalons de mise en marché) ;</w:t>
      </w:r>
    </w:p>
    <w:p w14:paraId="59928BA7" w14:textId="77777777" w:rsidR="00401C82" w:rsidRDefault="00000000">
      <w:pPr>
        <w:pStyle w:val="Paragraphedeliste2"/>
        <w:numPr>
          <w:ilvl w:val="0"/>
          <w:numId w:val="10"/>
        </w:numPr>
        <w:tabs>
          <w:tab w:val="num" w:pos="12"/>
        </w:tabs>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Estimation des coûts (restauration, MRV, gouvernance, transactions carbone) et besoins de financement ;</w:t>
      </w:r>
    </w:p>
    <w:p w14:paraId="660465E0" w14:textId="77777777" w:rsidR="00401C82" w:rsidRDefault="00000000">
      <w:pPr>
        <w:pStyle w:val="Paragraphedeliste2"/>
        <w:numPr>
          <w:ilvl w:val="0"/>
          <w:numId w:val="10"/>
        </w:numPr>
        <w:tabs>
          <w:tab w:val="num" w:pos="12"/>
        </w:tabs>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Séquençage opérationnel et articulation avec l’étude UE mangroves, PROBLUE, FVC et autres bailleurs.</w:t>
      </w:r>
    </w:p>
    <w:p w14:paraId="51C524E8" w14:textId="77777777" w:rsidR="00401C82" w:rsidRDefault="00000000">
      <w:pPr>
        <w:pStyle w:val="Paragraphedeliste2"/>
        <w:tabs>
          <w:tab w:val="num" w:pos="12"/>
        </w:tabs>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D1-5 :</w:t>
      </w:r>
    </w:p>
    <w:p w14:paraId="1325ACA7" w14:textId="77777777" w:rsidR="00401C82" w:rsidRDefault="00000000">
      <w:pPr>
        <w:pStyle w:val="Paragraphedeliste2"/>
        <w:tabs>
          <w:tab w:val="num" w:pos="12"/>
        </w:tabs>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Note juridique sur le partage des revenus carbone.</w:t>
      </w:r>
    </w:p>
    <w:p w14:paraId="275D4A60" w14:textId="77777777" w:rsidR="00401C82" w:rsidRDefault="00000000">
      <w:pPr>
        <w:pStyle w:val="Paragraphedeliste2"/>
        <w:tabs>
          <w:tab w:val="num" w:pos="12"/>
        </w:tabs>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D1-6 :</w:t>
      </w:r>
    </w:p>
    <w:p w14:paraId="40FB1832" w14:textId="77777777" w:rsidR="00401C82" w:rsidRDefault="00000000">
      <w:pPr>
        <w:pStyle w:val="Paragraphedeliste2"/>
        <w:tabs>
          <w:tab w:val="num" w:pos="12"/>
        </w:tabs>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Modèles de conventions de cogestion communautaire et principes de consentement libre, préalable et éclairé (FPIC), en formats éditables.</w:t>
      </w:r>
    </w:p>
    <w:p w14:paraId="7BDC0F66" w14:textId="77777777" w:rsidR="00401C82" w:rsidRDefault="00401C82">
      <w:pPr>
        <w:pStyle w:val="Paragraphedeliste2"/>
        <w:tabs>
          <w:tab w:val="num" w:pos="12"/>
        </w:tabs>
        <w:spacing w:line="276" w:lineRule="auto"/>
        <w:ind w:left="0"/>
        <w:contextualSpacing/>
        <w:jc w:val="both"/>
      </w:pPr>
    </w:p>
    <w:p w14:paraId="4447C912" w14:textId="77777777" w:rsidR="00401C82" w:rsidRDefault="00000000">
      <w:pPr>
        <w:pStyle w:val="Paragraphedeliste2"/>
        <w:spacing w:line="276" w:lineRule="auto"/>
        <w:ind w:left="0"/>
        <w:contextualSpacing/>
        <w:jc w:val="both"/>
        <w:rPr>
          <w:rFonts w:asciiTheme="minorHAnsi" w:hAnsiTheme="minorHAnsi" w:cstheme="minorBidi"/>
          <w:b/>
          <w:bCs/>
          <w:sz w:val="22"/>
          <w:szCs w:val="22"/>
        </w:rPr>
      </w:pPr>
      <w:r>
        <w:rPr>
          <w:rFonts w:asciiTheme="minorHAnsi" w:hAnsiTheme="minorHAnsi" w:cstheme="minorBidi"/>
          <w:b/>
          <w:bCs/>
          <w:sz w:val="22"/>
          <w:szCs w:val="22"/>
        </w:rPr>
        <w:t>Phase A1-3 – Validation et appropriation institutionnelle (Mois 10–12)</w:t>
      </w:r>
    </w:p>
    <w:p w14:paraId="10F98BB0" w14:textId="77777777" w:rsidR="00401C82" w:rsidRDefault="00000000">
      <w:pPr>
        <w:pStyle w:val="Paragraphedeliste2"/>
        <w:spacing w:line="276" w:lineRule="auto"/>
        <w:ind w:left="0"/>
        <w:contextualSpacing/>
        <w:jc w:val="both"/>
        <w:rPr>
          <w:rFonts w:asciiTheme="minorHAnsi" w:hAnsiTheme="minorHAnsi" w:cstheme="minorBidi"/>
          <w:b/>
          <w:bCs/>
          <w:sz w:val="22"/>
          <w:szCs w:val="22"/>
        </w:rPr>
      </w:pPr>
      <w:r>
        <w:br/>
      </w:r>
      <w:r>
        <w:rPr>
          <w:rFonts w:asciiTheme="minorHAnsi" w:hAnsiTheme="minorHAnsi" w:cstheme="minorBidi"/>
          <w:sz w:val="22"/>
          <w:szCs w:val="22"/>
        </w:rPr>
        <w:t xml:space="preserve">Organisation d’ateliers (en présentiel) de validation avec les parties prenantes institutionnelles et techniques, intégration des retours, finalisation et adoption formelle de la feuille de route par les autorités compétentes. L’atelier et les discussions prendront aussi en compte des consultations et discussions liées à la CDN 3.0. </w:t>
      </w:r>
    </w:p>
    <w:p w14:paraId="507091BD" w14:textId="77777777" w:rsidR="00401C82" w:rsidRDefault="00000000">
      <w:pPr>
        <w:spacing w:before="240" w:after="240"/>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D1-7 :</w:t>
      </w:r>
    </w:p>
    <w:p w14:paraId="0993DF59" w14:textId="77777777" w:rsidR="00401C82" w:rsidRDefault="00000000">
      <w:pPr>
        <w:pStyle w:val="Paragraphedeliste"/>
        <w:numPr>
          <w:ilvl w:val="0"/>
          <w:numId w:val="4"/>
        </w:numPr>
        <w:spacing w:before="240" w:after="240"/>
        <w:rPr>
          <w:rFonts w:asciiTheme="minorHAnsi" w:eastAsiaTheme="minorEastAsia" w:hAnsiTheme="minorHAnsi" w:cstheme="minorBidi"/>
          <w:sz w:val="22"/>
          <w:szCs w:val="22"/>
        </w:rPr>
      </w:pPr>
      <w:r>
        <w:rPr>
          <w:rFonts w:asciiTheme="minorHAnsi" w:eastAsiaTheme="minorEastAsia" w:hAnsiTheme="minorHAnsi" w:cstheme="minorBidi"/>
          <w:sz w:val="22"/>
          <w:szCs w:val="22"/>
        </w:rPr>
        <w:t>Feuille de route nationale « carbone mangroves » 2025–2035 finalisée et adoptée par les autorités compétentes.</w:t>
      </w:r>
    </w:p>
    <w:p w14:paraId="08EC0B17" w14:textId="77777777" w:rsidR="00401C82" w:rsidRDefault="00000000">
      <w:pPr>
        <w:spacing w:before="240" w:after="240"/>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D1-8 :</w:t>
      </w:r>
    </w:p>
    <w:p w14:paraId="627215D8" w14:textId="77777777" w:rsidR="00401C82" w:rsidRDefault="00000000">
      <w:pPr>
        <w:pStyle w:val="Paragraphedeliste"/>
        <w:numPr>
          <w:ilvl w:val="0"/>
          <w:numId w:val="3"/>
        </w:numPr>
        <w:spacing w:before="240" w:after="240"/>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Comptes rendus des ateliers de validation institutionnelle (présentiel) et documentation d’appropriation.</w:t>
      </w:r>
    </w:p>
    <w:p w14:paraId="4DBCEAEA" w14:textId="77777777" w:rsidR="00401C82" w:rsidRDefault="00401C82">
      <w:pPr>
        <w:pStyle w:val="Paragraphedeliste2"/>
        <w:spacing w:line="276" w:lineRule="auto"/>
        <w:ind w:left="0"/>
        <w:contextualSpacing/>
        <w:jc w:val="both"/>
        <w:rPr>
          <w:rFonts w:asciiTheme="minorHAnsi" w:hAnsiTheme="minorHAnsi" w:cstheme="minorBidi"/>
          <w:b/>
          <w:bCs/>
          <w:sz w:val="22"/>
          <w:szCs w:val="22"/>
          <w:u w:val="single"/>
        </w:rPr>
      </w:pPr>
    </w:p>
    <w:p w14:paraId="638CFEFA" w14:textId="77777777" w:rsidR="00401C82" w:rsidRDefault="00000000">
      <w:pPr>
        <w:pStyle w:val="Paragraphedeliste2"/>
        <w:spacing w:line="276" w:lineRule="auto"/>
        <w:ind w:left="0"/>
        <w:contextualSpacing/>
        <w:jc w:val="both"/>
        <w:rPr>
          <w:rFonts w:asciiTheme="minorHAnsi" w:hAnsiTheme="minorHAnsi" w:cstheme="minorBidi"/>
          <w:b/>
          <w:bCs/>
          <w:sz w:val="22"/>
          <w:szCs w:val="22"/>
        </w:rPr>
      </w:pPr>
      <w:r>
        <w:rPr>
          <w:rFonts w:asciiTheme="minorHAnsi" w:hAnsiTheme="minorHAnsi" w:cstheme="minorBidi"/>
          <w:b/>
          <w:bCs/>
          <w:sz w:val="22"/>
          <w:szCs w:val="22"/>
          <w:u w:val="single"/>
        </w:rPr>
        <w:t>Phase II : Action 2 – Registre simplifié et procédure d’autorisation ITMO (Article 6.2)</w:t>
      </w:r>
    </w:p>
    <w:p w14:paraId="331EB335" w14:textId="77777777" w:rsidR="00401C82" w:rsidRDefault="00000000">
      <w:pPr>
        <w:pStyle w:val="Paragraphedeliste2"/>
        <w:spacing w:line="276" w:lineRule="auto"/>
        <w:ind w:left="0"/>
        <w:contextualSpacing/>
        <w:jc w:val="both"/>
        <w:rPr>
          <w:rFonts w:asciiTheme="minorHAnsi" w:hAnsiTheme="minorHAnsi" w:cstheme="minorBidi"/>
          <w:b/>
          <w:bCs/>
          <w:sz w:val="22"/>
          <w:szCs w:val="22"/>
        </w:rPr>
      </w:pPr>
      <w:r>
        <w:br/>
      </w:r>
      <w:proofErr w:type="gramStart"/>
      <w:r>
        <w:rPr>
          <w:rFonts w:asciiTheme="minorHAnsi" w:hAnsiTheme="minorHAnsi" w:cstheme="minorBidi"/>
          <w:b/>
          <w:bCs/>
          <w:sz w:val="22"/>
          <w:szCs w:val="22"/>
        </w:rPr>
        <w:t>Objectif:</w:t>
      </w:r>
      <w:proofErr w:type="gramEnd"/>
      <w:r>
        <w:br/>
      </w:r>
      <w:r>
        <w:rPr>
          <w:rFonts w:asciiTheme="minorHAnsi" w:hAnsiTheme="minorHAnsi" w:cstheme="minorBidi"/>
          <w:sz w:val="22"/>
          <w:szCs w:val="22"/>
        </w:rPr>
        <w:t>Doter Haïti d’un cadre opérationnel, traçable et auditable permettant d’autoriser, d’enregistrer et de sécuriser les transferts de résultats d’atténuation internationaux (ITMO) conformément à l’Article 6.2 de l’Accord de Paris, en garantissant l’intégrité environnementale, la transparence des transactions et la prévention du double comptage.</w:t>
      </w:r>
    </w:p>
    <w:p w14:paraId="3BCDD1CB" w14:textId="77777777" w:rsidR="00401C82" w:rsidRDefault="00401C82">
      <w:pPr>
        <w:pStyle w:val="Paragraphedeliste2"/>
        <w:spacing w:line="276" w:lineRule="auto"/>
        <w:ind w:left="0"/>
        <w:contextualSpacing/>
        <w:jc w:val="both"/>
      </w:pPr>
    </w:p>
    <w:p w14:paraId="61F634E8"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rPr>
        <w:lastRenderedPageBreak/>
        <w:t>Phase A2-0 – Conception fonctionnelle du registre et des exigences d’intégrité (Mois 1–3)</w:t>
      </w:r>
      <w:r>
        <w:br/>
      </w:r>
      <w:r>
        <w:rPr>
          <w:rFonts w:asciiTheme="minorHAnsi" w:hAnsiTheme="minorHAnsi" w:cstheme="minorBidi"/>
          <w:sz w:val="22"/>
          <w:szCs w:val="22"/>
        </w:rPr>
        <w:t xml:space="preserve">Organisation d’un atelier technique de cadrage avec le </w:t>
      </w:r>
      <w:proofErr w:type="gramStart"/>
      <w:r>
        <w:rPr>
          <w:rFonts w:asciiTheme="minorHAnsi" w:hAnsiTheme="minorHAnsi" w:cstheme="minorBidi"/>
          <w:sz w:val="22"/>
          <w:szCs w:val="22"/>
        </w:rPr>
        <w:t>Ministère de l’Environnement</w:t>
      </w:r>
      <w:proofErr w:type="gramEnd"/>
      <w:r>
        <w:rPr>
          <w:rFonts w:asciiTheme="minorHAnsi" w:hAnsiTheme="minorHAnsi" w:cstheme="minorBidi"/>
          <w:sz w:val="22"/>
          <w:szCs w:val="22"/>
        </w:rPr>
        <w:t xml:space="preserve">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xml:space="preserve">), le </w:t>
      </w:r>
      <w:proofErr w:type="gramStart"/>
      <w:r>
        <w:rPr>
          <w:rFonts w:asciiTheme="minorHAnsi" w:hAnsiTheme="minorHAnsi" w:cstheme="minorBidi"/>
          <w:sz w:val="22"/>
          <w:szCs w:val="22"/>
        </w:rPr>
        <w:t>Ministère</w:t>
      </w:r>
      <w:proofErr w:type="gramEnd"/>
      <w:r>
        <w:rPr>
          <w:rFonts w:asciiTheme="minorHAnsi" w:hAnsiTheme="minorHAnsi" w:cstheme="minorBidi"/>
          <w:sz w:val="22"/>
          <w:szCs w:val="22"/>
        </w:rPr>
        <w:t xml:space="preserve"> des Affaires étrangères (MAE), le Fonds Haïtien pour la Biodiversité (FHB) et les parties prenantes institutionnelles concernées, visant à définir l’architecture fonctionnelle du registre ITMO.</w:t>
      </w:r>
    </w:p>
    <w:p w14:paraId="3D589228"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Cette phase inclut :</w:t>
      </w:r>
    </w:p>
    <w:p w14:paraId="09EBD543" w14:textId="77777777" w:rsidR="00401C82" w:rsidRDefault="00000000">
      <w:pPr>
        <w:pStyle w:val="Paragraphedeliste2"/>
        <w:numPr>
          <w:ilvl w:val="0"/>
          <w:numId w:val="25"/>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’identification des exigences minimales de traçabilité (cycle de vie des unités : autorisation, émission, transfert, annulation) ;</w:t>
      </w:r>
    </w:p>
    <w:p w14:paraId="37611ED1" w14:textId="77777777" w:rsidR="00401C82" w:rsidRDefault="00000000">
      <w:pPr>
        <w:pStyle w:val="Paragraphedeliste2"/>
        <w:numPr>
          <w:ilvl w:val="0"/>
          <w:numId w:val="25"/>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 xml:space="preserve">a définition des données clés à enregistrer (projet, méthodologie, période de </w:t>
      </w:r>
      <w:proofErr w:type="spellStart"/>
      <w:r>
        <w:rPr>
          <w:rFonts w:asciiTheme="minorHAnsi" w:eastAsiaTheme="minorEastAsia" w:hAnsiTheme="minorHAnsi" w:cstheme="minorBidi"/>
          <w:sz w:val="22"/>
          <w:szCs w:val="22"/>
        </w:rPr>
        <w:t>créditation</w:t>
      </w:r>
      <w:proofErr w:type="spellEnd"/>
      <w:r>
        <w:rPr>
          <w:rFonts w:asciiTheme="minorHAnsi" w:eastAsiaTheme="minorEastAsia" w:hAnsiTheme="minorHAnsi" w:cstheme="minorBidi"/>
          <w:sz w:val="22"/>
          <w:szCs w:val="22"/>
        </w:rPr>
        <w:t>, volumes, statut des unités, bénéficiaires, autorisations) ;</w:t>
      </w:r>
    </w:p>
    <w:p w14:paraId="23E8099A" w14:textId="77777777" w:rsidR="00401C82" w:rsidRDefault="00000000">
      <w:pPr>
        <w:pStyle w:val="Paragraphedeliste2"/>
        <w:numPr>
          <w:ilvl w:val="0"/>
          <w:numId w:val="25"/>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a clarification des rôles et responsabilités institutionnelles (autorité compétente, opérateur du registre, utilisateurs autorisés, contrôle et audit) ;</w:t>
      </w:r>
    </w:p>
    <w:p w14:paraId="17C50BF9" w14:textId="77777777" w:rsidR="00401C82" w:rsidRDefault="00000000">
      <w:pPr>
        <w:pStyle w:val="Paragraphedeliste2"/>
        <w:numPr>
          <w:ilvl w:val="0"/>
          <w:numId w:val="25"/>
        </w:numPr>
        <w:spacing w:line="276" w:lineRule="auto"/>
        <w:contextualSpacing/>
        <w:jc w:val="both"/>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 xml:space="preserve">’identification des exigences d’intégrité environnementale et de transparence (prévention du double comptage, cohérence avec la CDN, exigences de </w:t>
      </w:r>
      <w:proofErr w:type="spellStart"/>
      <w:r>
        <w:rPr>
          <w:rFonts w:asciiTheme="minorHAnsi" w:eastAsiaTheme="minorEastAsia" w:hAnsiTheme="minorHAnsi" w:cstheme="minorBidi"/>
          <w:sz w:val="22"/>
          <w:szCs w:val="22"/>
        </w:rPr>
        <w:t>reporting</w:t>
      </w:r>
      <w:proofErr w:type="spellEnd"/>
      <w:r>
        <w:rPr>
          <w:rFonts w:asciiTheme="minorHAnsi" w:eastAsiaTheme="minorEastAsia" w:hAnsiTheme="minorHAnsi" w:cstheme="minorBidi"/>
          <w:sz w:val="22"/>
          <w:szCs w:val="22"/>
        </w:rPr>
        <w:t>) ;</w:t>
      </w:r>
    </w:p>
    <w:p w14:paraId="7D691DAE" w14:textId="77777777" w:rsidR="00401C82" w:rsidRDefault="00000000">
      <w:pPr>
        <w:pStyle w:val="Paragraphedeliste2"/>
        <w:numPr>
          <w:ilvl w:val="0"/>
          <w:numId w:val="25"/>
        </w:numPr>
        <w:spacing w:line="276" w:lineRule="auto"/>
        <w:contextualSpacing/>
        <w:jc w:val="both"/>
        <w:rPr>
          <w:rFonts w:asciiTheme="minorHAnsi"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a définition des principes d’</w:t>
      </w:r>
      <w:proofErr w:type="spellStart"/>
      <w:r>
        <w:rPr>
          <w:rFonts w:asciiTheme="minorHAnsi" w:eastAsiaTheme="minorEastAsia" w:hAnsiTheme="minorHAnsi" w:cstheme="minorBidi"/>
          <w:sz w:val="22"/>
          <w:szCs w:val="22"/>
        </w:rPr>
        <w:t>auditabilité</w:t>
      </w:r>
      <w:proofErr w:type="spellEnd"/>
      <w:r>
        <w:rPr>
          <w:rFonts w:asciiTheme="minorHAnsi" w:eastAsiaTheme="minorEastAsia" w:hAnsiTheme="minorHAnsi" w:cstheme="minorBidi"/>
          <w:sz w:val="22"/>
          <w:szCs w:val="22"/>
        </w:rPr>
        <w:t>, de journalisation des opérations et de conservation des données.</w:t>
      </w:r>
    </w:p>
    <w:p w14:paraId="44A48E54" w14:textId="77777777" w:rsidR="00401C82" w:rsidRDefault="00401C82">
      <w:pPr>
        <w:pStyle w:val="Paragraphedeliste2"/>
        <w:spacing w:line="276" w:lineRule="auto"/>
        <w:ind w:left="0"/>
        <w:contextualSpacing/>
        <w:jc w:val="both"/>
      </w:pPr>
    </w:p>
    <w:p w14:paraId="77F4F891" w14:textId="77777777" w:rsidR="00401C82" w:rsidRDefault="00000000">
      <w:pPr>
        <w:pStyle w:val="Paragraphedeliste2"/>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D2-0 :</w:t>
      </w:r>
    </w:p>
    <w:p w14:paraId="0BF0BA88" w14:textId="77777777" w:rsidR="00401C82" w:rsidRDefault="00000000">
      <w:pPr>
        <w:pStyle w:val="Paragraphedeliste2"/>
        <w:spacing w:line="276" w:lineRule="auto"/>
        <w:ind w:left="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Note conceptuelle définissant l’architecture fonctionnelle du registre ITMO, incluant :</w:t>
      </w:r>
    </w:p>
    <w:p w14:paraId="2D309D98" w14:textId="77777777" w:rsidR="00401C82" w:rsidRDefault="00000000">
      <w:pPr>
        <w:pStyle w:val="Paragraphedeliste2"/>
        <w:numPr>
          <w:ilvl w:val="0"/>
          <w:numId w:val="9"/>
        </w:numPr>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Exigences minimales de traçabilité (autorisation, émission, transfert, annulation) ;</w:t>
      </w:r>
    </w:p>
    <w:p w14:paraId="3D1A8DCF" w14:textId="77777777" w:rsidR="00401C82" w:rsidRDefault="00000000">
      <w:pPr>
        <w:pStyle w:val="Paragraphedeliste2"/>
        <w:numPr>
          <w:ilvl w:val="0"/>
          <w:numId w:val="9"/>
        </w:numPr>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Données clés à enregistrer ;</w:t>
      </w:r>
    </w:p>
    <w:p w14:paraId="3EBF23E1" w14:textId="77777777" w:rsidR="00401C82" w:rsidRDefault="00000000">
      <w:pPr>
        <w:pStyle w:val="Paragraphedeliste2"/>
        <w:numPr>
          <w:ilvl w:val="0"/>
          <w:numId w:val="9"/>
        </w:numPr>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Rôles et responsabilités institutionnelles ;</w:t>
      </w:r>
    </w:p>
    <w:p w14:paraId="45D034DF" w14:textId="77777777" w:rsidR="00401C82" w:rsidRDefault="00000000">
      <w:pPr>
        <w:pStyle w:val="Paragraphedeliste2"/>
        <w:numPr>
          <w:ilvl w:val="0"/>
          <w:numId w:val="9"/>
        </w:numPr>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Exigences d’intégrité et de transparence ;</w:t>
      </w:r>
    </w:p>
    <w:p w14:paraId="5F892973" w14:textId="77777777" w:rsidR="00401C82" w:rsidRDefault="00000000">
      <w:pPr>
        <w:pStyle w:val="Paragraphedeliste2"/>
        <w:numPr>
          <w:ilvl w:val="0"/>
          <w:numId w:val="9"/>
        </w:numPr>
        <w:spacing w:line="276" w:lineRule="auto"/>
        <w:ind w:left="720"/>
        <w:contextualSpacing/>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Principes d’</w:t>
      </w:r>
      <w:proofErr w:type="spellStart"/>
      <w:r>
        <w:rPr>
          <w:rFonts w:asciiTheme="minorHAnsi" w:eastAsiaTheme="minorEastAsia" w:hAnsiTheme="minorHAnsi" w:cstheme="minorBidi"/>
          <w:sz w:val="22"/>
          <w:szCs w:val="22"/>
        </w:rPr>
        <w:t>auditabilité</w:t>
      </w:r>
      <w:proofErr w:type="spellEnd"/>
      <w:r>
        <w:rPr>
          <w:rFonts w:asciiTheme="minorHAnsi" w:eastAsiaTheme="minorEastAsia" w:hAnsiTheme="minorHAnsi" w:cstheme="minorBidi"/>
          <w:sz w:val="22"/>
          <w:szCs w:val="22"/>
        </w:rPr>
        <w:t>, de journalisation et de conservation des données.</w:t>
      </w:r>
    </w:p>
    <w:p w14:paraId="2C0803D6"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p>
    <w:p w14:paraId="4A87E12A"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rPr>
        <w:t>Phase A2-1 – Élaboration de la procédure d’autorisation ITMO et de la Lettre d’Autorisation-type (Mois 4–7)</w:t>
      </w:r>
    </w:p>
    <w:p w14:paraId="59D5D97B"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Conception d’une procédure d’autorisation end-to-end encadrant l’émission et le transfert d’ITMO par l’État haïtien, depuis la soumission d’un projet jusqu’à l’octroi formel de l’autorisation.</w:t>
      </w:r>
      <w:r>
        <w:br/>
      </w:r>
      <w:r>
        <w:br/>
      </w:r>
      <w:r>
        <w:rPr>
          <w:rFonts w:asciiTheme="minorHAnsi" w:hAnsiTheme="minorHAnsi" w:cstheme="minorBidi"/>
          <w:sz w:val="22"/>
          <w:szCs w:val="22"/>
        </w:rPr>
        <w:t>Cette phase comprend :</w:t>
      </w:r>
    </w:p>
    <w:p w14:paraId="7C05199F" w14:textId="77777777" w:rsidR="00401C82" w:rsidRDefault="00000000">
      <w:pPr>
        <w:pStyle w:val="Paragraphedeliste2"/>
        <w:numPr>
          <w:ilvl w:val="0"/>
          <w:numId w:val="24"/>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La définition des critères d’éligibilité des projets (conformité CDN, MRV, tenure foncière, sauvegardes environnementales et sociales) ;</w:t>
      </w:r>
    </w:p>
    <w:p w14:paraId="6AB4F613" w14:textId="77777777" w:rsidR="00401C82" w:rsidRDefault="00000000">
      <w:pPr>
        <w:pStyle w:val="Paragraphedeliste2"/>
        <w:numPr>
          <w:ilvl w:val="0"/>
          <w:numId w:val="24"/>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L’intégration des principes liés aux ajustements correspondants (</w:t>
      </w:r>
      <w:proofErr w:type="spellStart"/>
      <w:r>
        <w:rPr>
          <w:rFonts w:asciiTheme="minorHAnsi" w:hAnsiTheme="minorHAnsi" w:cstheme="minorBidi"/>
          <w:sz w:val="22"/>
          <w:szCs w:val="22"/>
        </w:rPr>
        <w:t>corresponding</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adjustments</w:t>
      </w:r>
      <w:proofErr w:type="spellEnd"/>
      <w:r>
        <w:rPr>
          <w:rFonts w:asciiTheme="minorHAnsi" w:hAnsiTheme="minorHAnsi" w:cstheme="minorBidi"/>
          <w:sz w:val="22"/>
          <w:szCs w:val="22"/>
        </w:rPr>
        <w:t>) et à la cohérence avec les inventaires nationaux ;</w:t>
      </w:r>
    </w:p>
    <w:p w14:paraId="3B5126EC" w14:textId="77777777" w:rsidR="00401C82" w:rsidRDefault="00000000">
      <w:pPr>
        <w:pStyle w:val="Paragraphedeliste2"/>
        <w:numPr>
          <w:ilvl w:val="0"/>
          <w:numId w:val="24"/>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 xml:space="preserve"> La clarification des rôles respectifs du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MEF et du MAE et MEF dans le processus d’autorisation</w:t>
      </w:r>
    </w:p>
    <w:p w14:paraId="334EF46A" w14:textId="77777777" w:rsidR="00401C82" w:rsidRDefault="00000000">
      <w:pPr>
        <w:pStyle w:val="Paragraphedeliste2"/>
        <w:numPr>
          <w:ilvl w:val="0"/>
          <w:numId w:val="24"/>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L’établissement de délais indicatifs (SLA), points de contrôle et exigences documentaires ;</w:t>
      </w:r>
    </w:p>
    <w:p w14:paraId="770367B0" w14:textId="77777777" w:rsidR="00401C82" w:rsidRDefault="00000000">
      <w:pPr>
        <w:pStyle w:val="Paragraphedeliste2"/>
        <w:numPr>
          <w:ilvl w:val="0"/>
          <w:numId w:val="24"/>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La rédaction d’une Lettre d’Autorisation-type (</w:t>
      </w:r>
      <w:proofErr w:type="spellStart"/>
      <w:r>
        <w:rPr>
          <w:rFonts w:asciiTheme="minorHAnsi" w:hAnsiTheme="minorHAnsi" w:cstheme="minorBidi"/>
          <w:sz w:val="22"/>
          <w:szCs w:val="22"/>
        </w:rPr>
        <w:t>LoA</w:t>
      </w:r>
      <w:proofErr w:type="spellEnd"/>
      <w:r>
        <w:rPr>
          <w:rFonts w:asciiTheme="minorHAnsi" w:hAnsiTheme="minorHAnsi" w:cstheme="minorBidi"/>
          <w:sz w:val="22"/>
          <w:szCs w:val="22"/>
        </w:rPr>
        <w:t>), modifiable et réplicable ;</w:t>
      </w:r>
    </w:p>
    <w:p w14:paraId="58ADBB54" w14:textId="77777777" w:rsidR="00401C82" w:rsidRDefault="00000000">
      <w:pPr>
        <w:pStyle w:val="Paragraphedeliste2"/>
        <w:numPr>
          <w:ilvl w:val="0"/>
          <w:numId w:val="24"/>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lastRenderedPageBreak/>
        <w:t xml:space="preserve">L’élaboration d’un canevas de pré-accord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xml:space="preserve">–MAE-MEF précisant les engagements institutionnels, obligations de transparence et de </w:t>
      </w:r>
      <w:proofErr w:type="spellStart"/>
      <w:r>
        <w:rPr>
          <w:rFonts w:asciiTheme="minorHAnsi" w:hAnsiTheme="minorHAnsi" w:cstheme="minorBidi"/>
          <w:sz w:val="22"/>
          <w:szCs w:val="22"/>
        </w:rPr>
        <w:t>reporting</w:t>
      </w:r>
      <w:proofErr w:type="spellEnd"/>
      <w:r>
        <w:rPr>
          <w:rFonts w:asciiTheme="minorHAnsi" w:hAnsiTheme="minorHAnsi" w:cstheme="minorBidi"/>
          <w:sz w:val="22"/>
          <w:szCs w:val="22"/>
        </w:rPr>
        <w:t>.</w:t>
      </w:r>
    </w:p>
    <w:p w14:paraId="1BF8710A" w14:textId="77777777" w:rsidR="00401C82" w:rsidRDefault="00401C82">
      <w:pPr>
        <w:pStyle w:val="Paragraphedeliste2"/>
        <w:spacing w:line="276" w:lineRule="auto"/>
        <w:ind w:left="0"/>
        <w:contextualSpacing/>
        <w:jc w:val="both"/>
      </w:pPr>
    </w:p>
    <w:p w14:paraId="25155936"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D2-1 :</w:t>
      </w:r>
      <w:r>
        <w:br/>
      </w:r>
      <w:r>
        <w:rPr>
          <w:rFonts w:asciiTheme="minorHAnsi" w:eastAsiaTheme="minorEastAsia" w:hAnsiTheme="minorHAnsi" w:cstheme="minorBidi"/>
          <w:sz w:val="22"/>
          <w:szCs w:val="22"/>
        </w:rPr>
        <w:t xml:space="preserve"> Procédure nationale d’autorisation ITMO (Article 6.2), couvrant l’ensemble du processus end-to-end, les critères d’éligibilité, les ajustements correspondants, les rôles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/MAE/MEF, les SLA et exigences documentaires.</w:t>
      </w:r>
    </w:p>
    <w:p w14:paraId="3F0C3885"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D2-2 :</w:t>
      </w:r>
      <w:r>
        <w:br/>
      </w:r>
      <w:r>
        <w:rPr>
          <w:rFonts w:asciiTheme="minorHAnsi" w:eastAsiaTheme="minorEastAsia" w:hAnsiTheme="minorHAnsi" w:cstheme="minorBidi"/>
          <w:sz w:val="22"/>
          <w:szCs w:val="22"/>
        </w:rPr>
        <w:t xml:space="preserve"> Lettre d’Autorisation-type (</w:t>
      </w:r>
      <w:proofErr w:type="spellStart"/>
      <w:r>
        <w:rPr>
          <w:rFonts w:asciiTheme="minorHAnsi" w:eastAsiaTheme="minorEastAsia" w:hAnsiTheme="minorHAnsi" w:cstheme="minorBidi"/>
          <w:sz w:val="22"/>
          <w:szCs w:val="22"/>
        </w:rPr>
        <w:t>LoA</w:t>
      </w:r>
      <w:proofErr w:type="spellEnd"/>
      <w:r>
        <w:rPr>
          <w:rFonts w:asciiTheme="minorHAnsi" w:eastAsiaTheme="minorEastAsia" w:hAnsiTheme="minorHAnsi" w:cstheme="minorBidi"/>
          <w:sz w:val="22"/>
          <w:szCs w:val="22"/>
        </w:rPr>
        <w:t>), modifiable et réplicable.</w:t>
      </w:r>
    </w:p>
    <w:p w14:paraId="52E1203B"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D2-3 :</w:t>
      </w:r>
      <w:r>
        <w:br/>
      </w:r>
      <w:r>
        <w:rPr>
          <w:rFonts w:asciiTheme="minorHAnsi" w:eastAsiaTheme="minorEastAsia" w:hAnsiTheme="minorHAnsi" w:cstheme="minorBidi"/>
          <w:sz w:val="22"/>
          <w:szCs w:val="22"/>
        </w:rPr>
        <w:t xml:space="preserve"> Canevas de pré-accord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 xml:space="preserve">–MAE-MEF précisant engagements institutionnels, obligations de transparence et de </w:t>
      </w:r>
      <w:proofErr w:type="spellStart"/>
      <w:r>
        <w:rPr>
          <w:rFonts w:asciiTheme="minorHAnsi" w:eastAsiaTheme="minorEastAsia" w:hAnsiTheme="minorHAnsi" w:cstheme="minorBidi"/>
          <w:sz w:val="22"/>
          <w:szCs w:val="22"/>
        </w:rPr>
        <w:t>reporting</w:t>
      </w:r>
      <w:proofErr w:type="spellEnd"/>
      <w:r>
        <w:rPr>
          <w:rFonts w:asciiTheme="minorHAnsi" w:eastAsiaTheme="minorEastAsia" w:hAnsiTheme="minorHAnsi" w:cstheme="minorBidi"/>
          <w:sz w:val="22"/>
          <w:szCs w:val="22"/>
        </w:rPr>
        <w:t>.</w:t>
      </w:r>
    </w:p>
    <w:p w14:paraId="219E5013"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b/>
          <w:bCs/>
          <w:sz w:val="22"/>
          <w:szCs w:val="22"/>
        </w:rPr>
        <w:t>Phase A2-2 – Développement et paramétrage du registre simplifié et du manuel utilisateur (Mois 7–9)</w:t>
      </w:r>
    </w:p>
    <w:p w14:paraId="5172BE2C"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br/>
      </w:r>
      <w:r>
        <w:rPr>
          <w:rFonts w:asciiTheme="minorHAnsi" w:hAnsiTheme="minorHAnsi" w:cstheme="minorBidi"/>
          <w:sz w:val="22"/>
          <w:szCs w:val="22"/>
        </w:rPr>
        <w:t>Développement d’un registre national simplifié permettant l’enregistrement et le suivi des ITMO autorisés, conçu comme un outil opérationnel évolutif, compatible avec les capacités institutionnelles actuelles.</w:t>
      </w:r>
    </w:p>
    <w:p w14:paraId="39F66C96" w14:textId="77777777" w:rsidR="00401C82" w:rsidRDefault="00000000">
      <w:pPr>
        <w:pStyle w:val="Paragraphedeliste2"/>
        <w:spacing w:line="276" w:lineRule="auto"/>
        <w:ind w:left="0"/>
        <w:contextualSpacing/>
        <w:rPr>
          <w:rFonts w:asciiTheme="minorHAnsi" w:hAnsiTheme="minorHAnsi" w:cstheme="minorBidi"/>
          <w:sz w:val="22"/>
          <w:szCs w:val="22"/>
        </w:rPr>
      </w:pPr>
      <w:r>
        <w:br/>
      </w:r>
      <w:r>
        <w:rPr>
          <w:rFonts w:asciiTheme="minorHAnsi" w:hAnsiTheme="minorHAnsi" w:cstheme="minorBidi"/>
          <w:sz w:val="22"/>
          <w:szCs w:val="22"/>
        </w:rPr>
        <w:t>Cette phase inclut :</w:t>
      </w:r>
    </w:p>
    <w:p w14:paraId="3DB07EB9" w14:textId="77777777" w:rsidR="00401C82" w:rsidRDefault="00000000">
      <w:pPr>
        <w:pStyle w:val="Paragraphedeliste2"/>
        <w:numPr>
          <w:ilvl w:val="0"/>
          <w:numId w:val="23"/>
        </w:numPr>
        <w:spacing w:line="276" w:lineRule="auto"/>
        <w:contextualSpacing/>
        <w:rPr>
          <w:rFonts w:asciiTheme="minorHAnsi" w:eastAsiaTheme="minorEastAsia" w:hAnsiTheme="minorHAnsi" w:cstheme="minorBidi"/>
          <w:sz w:val="22"/>
          <w:szCs w:val="22"/>
        </w:rPr>
      </w:pPr>
      <w:r>
        <w:rPr>
          <w:rFonts w:asciiTheme="minorHAnsi" w:hAnsiTheme="minorHAnsi" w:cstheme="minorBidi"/>
          <w:sz w:val="22"/>
          <w:szCs w:val="22"/>
        </w:rPr>
        <w:t>L</w:t>
      </w:r>
      <w:r>
        <w:rPr>
          <w:rFonts w:asciiTheme="minorHAnsi" w:eastAsiaTheme="minorEastAsia" w:hAnsiTheme="minorHAnsi" w:cstheme="minorBidi"/>
          <w:sz w:val="22"/>
          <w:szCs w:val="22"/>
        </w:rPr>
        <w:t>e paramétrage du registre selon les spécifications définies (champs de données, droits d’accès, niveaux d’autorisation) ;</w:t>
      </w:r>
    </w:p>
    <w:p w14:paraId="36FA5CF1" w14:textId="77777777" w:rsidR="00401C82" w:rsidRDefault="00000000">
      <w:pPr>
        <w:pStyle w:val="Paragraphedeliste2"/>
        <w:numPr>
          <w:ilvl w:val="0"/>
          <w:numId w:val="23"/>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sz w:val="22"/>
          <w:szCs w:val="22"/>
        </w:rPr>
        <w:t>La mise en place de mécanismes de sécurité, de sauvegarde et de journalisation ;</w:t>
      </w:r>
    </w:p>
    <w:p w14:paraId="3DCC6C4F" w14:textId="77777777" w:rsidR="00401C82" w:rsidRDefault="00000000">
      <w:pPr>
        <w:pStyle w:val="Paragraphedeliste2"/>
        <w:numPr>
          <w:ilvl w:val="0"/>
          <w:numId w:val="23"/>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’élaboration d’un manuel utilisateur détaillant les procédures d’enregistrement, de mise à jour, d’extraction et de contrôle des données ;</w:t>
      </w:r>
    </w:p>
    <w:p w14:paraId="6663D59C" w14:textId="77777777" w:rsidR="00401C82" w:rsidRDefault="00000000">
      <w:pPr>
        <w:pStyle w:val="Paragraphedeliste2"/>
        <w:numPr>
          <w:ilvl w:val="0"/>
          <w:numId w:val="23"/>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a définition de procédures d’exploitation (gestion des accès, mises à jour, archivage, gestion des incidents).</w:t>
      </w:r>
    </w:p>
    <w:p w14:paraId="1F06A361" w14:textId="77777777" w:rsidR="00401C82" w:rsidRDefault="00401C82">
      <w:pPr>
        <w:pStyle w:val="Paragraphedeliste2"/>
        <w:spacing w:line="276" w:lineRule="auto"/>
        <w:ind w:left="0"/>
        <w:contextualSpacing/>
        <w:rPr>
          <w:rFonts w:asciiTheme="minorHAnsi" w:eastAsiaTheme="minorEastAsia" w:hAnsiTheme="minorHAnsi" w:cstheme="minorBidi"/>
          <w:sz w:val="22"/>
          <w:szCs w:val="22"/>
        </w:rPr>
      </w:pPr>
    </w:p>
    <w:p w14:paraId="5CB694AE"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D2-4 :</w:t>
      </w:r>
      <w:r>
        <w:br/>
      </w:r>
      <w:r>
        <w:rPr>
          <w:rFonts w:asciiTheme="minorHAnsi" w:eastAsiaTheme="minorEastAsia" w:hAnsiTheme="minorHAnsi" w:cstheme="minorBidi"/>
          <w:sz w:val="22"/>
          <w:szCs w:val="22"/>
        </w:rPr>
        <w:t xml:space="preserve">Registre national simplifié (niveau proof of concept) opérationnel pour l’enregistrement et le suivi des ITMO autorisés (solution de type </w:t>
      </w:r>
      <w:proofErr w:type="spellStart"/>
      <w:r>
        <w:rPr>
          <w:rFonts w:asciiTheme="minorHAnsi" w:eastAsiaTheme="minorEastAsia" w:hAnsiTheme="minorHAnsi" w:cstheme="minorBidi"/>
          <w:sz w:val="22"/>
          <w:szCs w:val="22"/>
        </w:rPr>
        <w:t>Airtable</w:t>
      </w:r>
      <w:proofErr w:type="spellEnd"/>
      <w:r>
        <w:rPr>
          <w:rFonts w:asciiTheme="minorHAnsi" w:eastAsiaTheme="minorEastAsia" w:hAnsiTheme="minorHAnsi" w:cstheme="minorBidi"/>
          <w:sz w:val="22"/>
          <w:szCs w:val="22"/>
        </w:rPr>
        <w:t xml:space="preserve"> avec API, gestion des </w:t>
      </w:r>
      <w:proofErr w:type="spellStart"/>
      <w:r>
        <w:rPr>
          <w:rFonts w:asciiTheme="minorHAnsi" w:eastAsiaTheme="minorEastAsia" w:hAnsiTheme="minorHAnsi" w:cstheme="minorBidi"/>
          <w:sz w:val="22"/>
          <w:szCs w:val="22"/>
        </w:rPr>
        <w:t>roles</w:t>
      </w:r>
      <w:proofErr w:type="spellEnd"/>
      <w:r>
        <w:rPr>
          <w:rFonts w:asciiTheme="minorHAnsi" w:eastAsiaTheme="minorEastAsia" w:hAnsiTheme="minorHAnsi" w:cstheme="minorBidi"/>
          <w:sz w:val="22"/>
          <w:szCs w:val="22"/>
        </w:rPr>
        <w:t>, et historiques des modifications)</w:t>
      </w:r>
    </w:p>
    <w:p w14:paraId="6372CC3F"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D2-5 :</w:t>
      </w:r>
      <w:r>
        <w:br/>
      </w:r>
      <w:r>
        <w:rPr>
          <w:rFonts w:asciiTheme="minorHAnsi" w:eastAsiaTheme="minorEastAsia" w:hAnsiTheme="minorHAnsi" w:cstheme="minorBidi"/>
          <w:sz w:val="22"/>
          <w:szCs w:val="22"/>
        </w:rPr>
        <w:t xml:space="preserve"> Manuel utilisateur du registre et procédures d’exploitation (gestion des accès, mises à jour, archivage, gestion des incidents)</w:t>
      </w:r>
    </w:p>
    <w:p w14:paraId="46128273" w14:textId="77777777" w:rsidR="00401C82" w:rsidRDefault="00401C82">
      <w:pPr>
        <w:pStyle w:val="Paragraphedeliste2"/>
        <w:spacing w:line="276" w:lineRule="auto"/>
        <w:ind w:left="0"/>
        <w:contextualSpacing/>
      </w:pPr>
    </w:p>
    <w:p w14:paraId="4F234F64"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rPr>
        <w:t>Phase A2-3 – Tests pilotes, formation et déploiement (Mois 10–12)</w:t>
      </w:r>
    </w:p>
    <w:p w14:paraId="18A99276"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Mise en œuvre d’un test pilote du registre et de la procédure d’autorisation sur un cas concret de projet mangroves, afin de vérifier l’opérationnalité du dispositif et d’identifier les ajustements nécessaires.</w:t>
      </w:r>
    </w:p>
    <w:p w14:paraId="3C647842"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lastRenderedPageBreak/>
        <w:br/>
      </w:r>
      <w:r>
        <w:rPr>
          <w:rFonts w:asciiTheme="minorHAnsi" w:hAnsiTheme="minorHAnsi" w:cstheme="minorBidi"/>
          <w:sz w:val="22"/>
          <w:szCs w:val="22"/>
        </w:rPr>
        <w:t>Cette phase comprend :</w:t>
      </w:r>
    </w:p>
    <w:p w14:paraId="75664913" w14:textId="77777777" w:rsidR="00401C82" w:rsidRDefault="00000000">
      <w:pPr>
        <w:pStyle w:val="Paragraphedeliste2"/>
        <w:numPr>
          <w:ilvl w:val="0"/>
          <w:numId w:val="22"/>
        </w:numPr>
        <w:spacing w:line="276" w:lineRule="auto"/>
        <w:contextualSpacing/>
        <w:jc w:val="both"/>
        <w:rPr>
          <w:rFonts w:asciiTheme="minorHAnsi"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a conduite d’un test complet du cycle d’autorisation et d’enregistrement ;</w:t>
      </w:r>
    </w:p>
    <w:p w14:paraId="700E5A95" w14:textId="77777777" w:rsidR="00401C82" w:rsidRDefault="00000000">
      <w:pPr>
        <w:pStyle w:val="Paragraphedeliste2"/>
        <w:numPr>
          <w:ilvl w:val="0"/>
          <w:numId w:val="22"/>
        </w:numPr>
        <w:spacing w:line="276" w:lineRule="auto"/>
        <w:contextualSpacing/>
        <w:jc w:val="both"/>
        <w:rPr>
          <w:rFonts w:asciiTheme="minorHAnsi" w:hAnsiTheme="minorHAnsi" w:cstheme="minorBidi"/>
          <w:sz w:val="22"/>
          <w:szCs w:val="22"/>
        </w:rPr>
      </w:pPr>
      <w:r>
        <w:rPr>
          <w:rFonts w:asciiTheme="minorHAnsi" w:eastAsiaTheme="minorEastAsia" w:hAnsiTheme="minorHAnsi" w:cstheme="minorBidi"/>
          <w:sz w:val="22"/>
          <w:szCs w:val="22"/>
        </w:rPr>
        <w:t>L’analyse des résultats et l’ajustement des outils et procédures ;</w:t>
      </w:r>
    </w:p>
    <w:p w14:paraId="71B5E98E" w14:textId="77777777" w:rsidR="00401C82" w:rsidRDefault="00000000">
      <w:pPr>
        <w:pStyle w:val="Paragraphedeliste2"/>
        <w:numPr>
          <w:ilvl w:val="0"/>
          <w:numId w:val="22"/>
        </w:numPr>
        <w:spacing w:line="276" w:lineRule="auto"/>
        <w:contextualSpacing/>
        <w:jc w:val="both"/>
        <w:rPr>
          <w:rFonts w:asciiTheme="minorHAnsi" w:hAnsiTheme="minorHAnsi" w:cstheme="minorBidi"/>
          <w:sz w:val="22"/>
          <w:szCs w:val="22"/>
        </w:rPr>
      </w:pPr>
      <w:r>
        <w:rPr>
          <w:rFonts w:asciiTheme="minorHAnsi" w:eastAsiaTheme="minorEastAsia" w:hAnsiTheme="minorHAnsi" w:cstheme="minorBidi"/>
          <w:sz w:val="22"/>
          <w:szCs w:val="22"/>
        </w:rPr>
        <w:t xml:space="preserve">L’organisation de sessions de formation ciblées pour les équipes du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 du MAE et MEF, et du FHB ;</w:t>
      </w:r>
    </w:p>
    <w:p w14:paraId="6ACDEE49" w14:textId="77777777" w:rsidR="00401C82" w:rsidRDefault="00000000">
      <w:pPr>
        <w:pStyle w:val="Paragraphedeliste2"/>
        <w:numPr>
          <w:ilvl w:val="0"/>
          <w:numId w:val="22"/>
        </w:numPr>
        <w:spacing w:line="276" w:lineRule="auto"/>
        <w:contextualSpacing/>
        <w:jc w:val="both"/>
        <w:rPr>
          <w:rFonts w:asciiTheme="minorHAnsi"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a production d’un kit de déploiement incluant procédures opérationnelles standardisées (SOP), guides pratiques et</w:t>
      </w:r>
      <w:r>
        <w:rPr>
          <w:rFonts w:asciiTheme="minorHAnsi" w:hAnsiTheme="minorHAnsi" w:cstheme="minorBidi"/>
          <w:sz w:val="22"/>
          <w:szCs w:val="22"/>
        </w:rPr>
        <w:t xml:space="preserve"> supports pédagogiques.</w:t>
      </w:r>
    </w:p>
    <w:p w14:paraId="793B508A" w14:textId="77777777" w:rsidR="00401C82" w:rsidRDefault="00401C82">
      <w:pPr>
        <w:pStyle w:val="Paragraphedeliste2"/>
        <w:spacing w:line="276" w:lineRule="auto"/>
        <w:contextualSpacing/>
        <w:jc w:val="both"/>
        <w:rPr>
          <w:rFonts w:asciiTheme="minorHAnsi" w:hAnsiTheme="minorHAnsi" w:cstheme="minorBidi"/>
          <w:sz w:val="22"/>
          <w:szCs w:val="22"/>
        </w:rPr>
      </w:pPr>
    </w:p>
    <w:p w14:paraId="738DBF3B" w14:textId="77777777" w:rsidR="00401C82" w:rsidRDefault="00000000">
      <w:pPr>
        <w:pStyle w:val="Paragraphedeliste2"/>
        <w:spacing w:line="276" w:lineRule="auto"/>
        <w:ind w:left="0"/>
        <w:contextualSpacing/>
        <w:jc w:val="both"/>
        <w:rPr>
          <w:rFonts w:ascii="Calibri" w:hAnsi="Calibri" w:cs="Calibri"/>
          <w:b/>
          <w:bCs/>
          <w:sz w:val="22"/>
          <w:szCs w:val="22"/>
        </w:rPr>
      </w:pPr>
      <w:r>
        <w:rPr>
          <w:rFonts w:ascii="Calibri" w:hAnsi="Calibri" w:cs="Calibri"/>
          <w:b/>
          <w:bCs/>
          <w:sz w:val="22"/>
          <w:szCs w:val="22"/>
        </w:rPr>
        <w:t>Phase A2-3 – Tests pilotes, formation et déploiement (Mois 10–12)</w:t>
      </w:r>
    </w:p>
    <w:p w14:paraId="1FEE3970" w14:textId="77777777" w:rsidR="00401C82" w:rsidRDefault="00000000">
      <w:pPr>
        <w:pStyle w:val="Paragraphedeliste2"/>
        <w:spacing w:line="276" w:lineRule="auto"/>
        <w:ind w:left="0"/>
        <w:contextualSpacing/>
        <w:jc w:val="both"/>
        <w:rPr>
          <w:rFonts w:ascii="Calibri" w:hAnsi="Calibri" w:cs="Calibri"/>
          <w:sz w:val="22"/>
          <w:szCs w:val="22"/>
        </w:rPr>
      </w:pPr>
      <w:r>
        <w:rPr>
          <w:rFonts w:ascii="Calibri" w:hAnsi="Calibri" w:cs="Calibri"/>
          <w:b/>
          <w:bCs/>
          <w:sz w:val="22"/>
          <w:szCs w:val="22"/>
        </w:rPr>
        <w:t>Livrable D2-6 :</w:t>
      </w:r>
    </w:p>
    <w:p w14:paraId="111E5309" w14:textId="77777777" w:rsidR="00401C82" w:rsidRDefault="00000000">
      <w:pPr>
        <w:pStyle w:val="Paragraphedeliste2"/>
        <w:spacing w:line="276" w:lineRule="auto"/>
        <w:ind w:left="0"/>
        <w:contextualSpacing/>
        <w:jc w:val="both"/>
        <w:rPr>
          <w:rFonts w:ascii="Calibri" w:hAnsi="Calibri" w:cs="Calibri"/>
          <w:sz w:val="22"/>
          <w:szCs w:val="22"/>
        </w:rPr>
      </w:pPr>
      <w:r>
        <w:rPr>
          <w:rFonts w:ascii="Calibri" w:hAnsi="Calibri" w:cs="Calibri"/>
          <w:sz w:val="22"/>
          <w:szCs w:val="22"/>
        </w:rPr>
        <w:t xml:space="preserve"> Rapport de test pilote du registre et de la procédure d’autorisation sur un projet mangroves.</w:t>
      </w:r>
    </w:p>
    <w:p w14:paraId="53642F79" w14:textId="77777777" w:rsidR="00401C82" w:rsidRDefault="00000000">
      <w:pPr>
        <w:pStyle w:val="Paragraphedeliste2"/>
        <w:spacing w:line="276" w:lineRule="auto"/>
        <w:ind w:left="0"/>
        <w:contextualSpacing/>
        <w:jc w:val="both"/>
        <w:rPr>
          <w:rFonts w:ascii="Calibri" w:hAnsi="Calibri" w:cs="Calibri"/>
          <w:sz w:val="22"/>
          <w:szCs w:val="22"/>
        </w:rPr>
      </w:pPr>
      <w:r>
        <w:rPr>
          <w:rFonts w:ascii="Calibri" w:hAnsi="Calibri" w:cs="Calibri"/>
          <w:b/>
          <w:bCs/>
          <w:sz w:val="22"/>
          <w:szCs w:val="22"/>
        </w:rPr>
        <w:t>Livrable D2-7 :</w:t>
      </w:r>
    </w:p>
    <w:p w14:paraId="457E1F6E" w14:textId="77777777" w:rsidR="00401C82" w:rsidRDefault="00000000">
      <w:pPr>
        <w:pStyle w:val="Paragraphedeliste2"/>
        <w:spacing w:line="276" w:lineRule="auto"/>
        <w:ind w:left="0"/>
        <w:contextualSpacing/>
        <w:jc w:val="both"/>
        <w:rPr>
          <w:rFonts w:ascii="Calibri" w:hAnsi="Calibri" w:cs="Calibri"/>
          <w:sz w:val="22"/>
          <w:szCs w:val="22"/>
        </w:rPr>
      </w:pPr>
      <w:r>
        <w:rPr>
          <w:rFonts w:ascii="Calibri" w:hAnsi="Calibri" w:cs="Calibri"/>
          <w:sz w:val="22"/>
          <w:szCs w:val="22"/>
        </w:rPr>
        <w:t xml:space="preserve"> Kit de déploiement comprenant supports de formation, guides pratiques, SOP et documentation pédagogique.</w:t>
      </w:r>
    </w:p>
    <w:p w14:paraId="12889D13" w14:textId="77777777" w:rsidR="00401C82" w:rsidRDefault="00401C82">
      <w:pPr>
        <w:pStyle w:val="Paragraphedeliste2"/>
        <w:spacing w:line="276" w:lineRule="auto"/>
        <w:ind w:left="0"/>
        <w:contextualSpacing/>
        <w:jc w:val="both"/>
        <w:rPr>
          <w:rFonts w:asciiTheme="minorHAnsi" w:hAnsiTheme="minorHAnsi" w:cstheme="minorBidi"/>
          <w:sz w:val="22"/>
          <w:szCs w:val="22"/>
        </w:rPr>
      </w:pPr>
    </w:p>
    <w:p w14:paraId="1DFE9AC6" w14:textId="77777777" w:rsidR="00401C82" w:rsidRDefault="00000000">
      <w:pPr>
        <w:pStyle w:val="Paragraphedeliste2"/>
        <w:spacing w:line="276" w:lineRule="auto"/>
        <w:ind w:left="0"/>
        <w:contextualSpacing/>
        <w:jc w:val="both"/>
        <w:rPr>
          <w:rFonts w:asciiTheme="minorHAnsi" w:hAnsiTheme="minorHAnsi" w:cstheme="minorBidi"/>
        </w:rPr>
      </w:pPr>
      <w:r>
        <w:rPr>
          <w:rFonts w:asciiTheme="minorHAnsi" w:hAnsiTheme="minorHAnsi" w:cstheme="minorBidi"/>
          <w:b/>
          <w:bCs/>
          <w:sz w:val="22"/>
          <w:szCs w:val="22"/>
          <w:u w:val="single"/>
        </w:rPr>
        <w:t>Phase III : Action 3 – Modèle de financement hybride pour la restauration des mangroves</w:t>
      </w:r>
      <w:r>
        <w:br/>
      </w:r>
      <w:r>
        <w:br/>
      </w:r>
      <w:r>
        <w:rPr>
          <w:rFonts w:asciiTheme="minorHAnsi" w:hAnsiTheme="minorHAnsi" w:cstheme="minorBidi"/>
          <w:b/>
          <w:bCs/>
          <w:sz w:val="22"/>
          <w:szCs w:val="22"/>
        </w:rPr>
        <w:t>Objectif:</w:t>
      </w:r>
      <w:r>
        <w:br/>
      </w:r>
      <w:r>
        <w:rPr>
          <w:rFonts w:asciiTheme="minorHAnsi" w:hAnsiTheme="minorHAnsi" w:cstheme="minorBidi"/>
          <w:sz w:val="22"/>
          <w:szCs w:val="22"/>
        </w:rPr>
        <w:t>Concevoir un modèle de financement hybride permettant de rendre les projets de restauration de mangroves économiquement viables et attractifs pour des financements publics et privés, en combinant subventions, crédits carbone (marché volontaire et/ou Article 6) et paiements pour services écosystémiques, tout en renforçant la capacité de capitalisation et de canalisation financière du Fonds Haïtien pour la Biodiversité (FHB).</w:t>
      </w:r>
    </w:p>
    <w:p w14:paraId="4B847299" w14:textId="55CF4EF2" w:rsidR="00401C82" w:rsidRDefault="00401C82">
      <w:pPr>
        <w:pStyle w:val="Paragraphedeliste2"/>
        <w:spacing w:line="276" w:lineRule="auto"/>
        <w:ind w:left="0"/>
        <w:contextualSpacing/>
        <w:jc w:val="both"/>
        <w:rPr>
          <w:rFonts w:asciiTheme="minorHAnsi" w:hAnsiTheme="minorHAnsi" w:cstheme="minorBidi"/>
          <w:sz w:val="22"/>
          <w:szCs w:val="22"/>
        </w:rPr>
      </w:pPr>
    </w:p>
    <w:p w14:paraId="332D3B2A"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hAnsiTheme="minorHAnsi" w:cstheme="minorBidi"/>
          <w:b/>
          <w:bCs/>
          <w:sz w:val="22"/>
          <w:szCs w:val="22"/>
        </w:rPr>
        <w:t>Phase A3-0 – Hypothèses et architecture financière (Mois 1–3)</w:t>
      </w:r>
      <w:r>
        <w:br/>
      </w:r>
      <w:r>
        <w:rPr>
          <w:rFonts w:asciiTheme="minorHAnsi" w:hAnsiTheme="minorHAnsi" w:cstheme="minorBidi"/>
          <w:sz w:val="22"/>
          <w:szCs w:val="22"/>
        </w:rPr>
        <w:t>Définition des hypothèses financières et de l’architecture globale du modèle de financement.</w:t>
      </w:r>
    </w:p>
    <w:p w14:paraId="69437D17" w14:textId="77777777" w:rsidR="00401C82" w:rsidRDefault="00000000">
      <w:pPr>
        <w:pStyle w:val="Paragraphedeliste2"/>
        <w:spacing w:line="276" w:lineRule="auto"/>
        <w:ind w:left="0"/>
        <w:contextualSpacing/>
        <w:rPr>
          <w:rFonts w:asciiTheme="minorHAnsi" w:hAnsiTheme="minorHAnsi" w:cstheme="minorBidi"/>
          <w:sz w:val="22"/>
          <w:szCs w:val="22"/>
        </w:rPr>
      </w:pPr>
      <w:r>
        <w:br/>
      </w:r>
      <w:r>
        <w:rPr>
          <w:rFonts w:asciiTheme="minorHAnsi" w:hAnsiTheme="minorHAnsi" w:cstheme="minorBidi"/>
          <w:sz w:val="22"/>
          <w:szCs w:val="22"/>
        </w:rPr>
        <w:t>Cette phase comprend :</w:t>
      </w:r>
    </w:p>
    <w:p w14:paraId="5D22DC75" w14:textId="77777777" w:rsidR="00401C82" w:rsidRDefault="00000000">
      <w:pPr>
        <w:pStyle w:val="Paragraphedeliste2"/>
        <w:numPr>
          <w:ilvl w:val="0"/>
          <w:numId w:val="21"/>
        </w:numPr>
        <w:spacing w:line="276" w:lineRule="auto"/>
        <w:contextualSpacing/>
      </w:pPr>
      <w:r>
        <w:rPr>
          <w:rFonts w:asciiTheme="minorHAnsi" w:eastAsiaTheme="minorEastAsia" w:hAnsiTheme="minorHAnsi" w:cstheme="minorBidi"/>
        </w:rPr>
        <w:t>L</w:t>
      </w:r>
      <w:r>
        <w:rPr>
          <w:rFonts w:asciiTheme="minorHAnsi" w:eastAsiaTheme="minorEastAsia" w:hAnsiTheme="minorHAnsi" w:cstheme="minorBidi"/>
          <w:sz w:val="22"/>
          <w:szCs w:val="22"/>
        </w:rPr>
        <w:t xml:space="preserve">’identification des scénarios de flux carbone (VCM – </w:t>
      </w:r>
      <w:proofErr w:type="spellStart"/>
      <w:r>
        <w:rPr>
          <w:rFonts w:asciiTheme="minorHAnsi" w:eastAsiaTheme="minorEastAsia" w:hAnsiTheme="minorHAnsi" w:cstheme="minorBidi"/>
          <w:sz w:val="22"/>
          <w:szCs w:val="22"/>
        </w:rPr>
        <w:t>removals</w:t>
      </w:r>
      <w:proofErr w:type="spellEnd"/>
      <w:r>
        <w:rPr>
          <w:rFonts w:asciiTheme="minorHAnsi" w:eastAsiaTheme="minorEastAsia" w:hAnsiTheme="minorHAnsi" w:cstheme="minorBidi"/>
          <w:sz w:val="22"/>
          <w:szCs w:val="22"/>
        </w:rPr>
        <w:t>, Article 6 – ITMO, paiements pour services écosystémiques) et de leurs combinaisons possibles ;</w:t>
      </w:r>
      <w:r>
        <w:br/>
      </w:r>
      <w:r>
        <w:rPr>
          <w:rFonts w:asciiTheme="minorHAnsi" w:eastAsiaTheme="minorEastAsia" w:hAnsiTheme="minorHAnsi" w:cstheme="minorBidi"/>
          <w:sz w:val="22"/>
          <w:szCs w:val="22"/>
        </w:rPr>
        <w:t>L’analyse des hypothèses de prix, volumes, délais de vérification et d’émission, contributions aux buffers de permanence ;</w:t>
      </w:r>
    </w:p>
    <w:p w14:paraId="1D704D12" w14:textId="77777777" w:rsidR="00401C82" w:rsidRDefault="00000000">
      <w:pPr>
        <w:pStyle w:val="Paragraphedeliste2"/>
        <w:numPr>
          <w:ilvl w:val="0"/>
          <w:numId w:val="21"/>
        </w:numPr>
        <w:spacing w:line="276" w:lineRule="auto"/>
        <w:contextualSpacing/>
      </w:pPr>
      <w:r>
        <w:rPr>
          <w:rFonts w:asciiTheme="minorHAnsi" w:eastAsiaTheme="minorEastAsia" w:hAnsiTheme="minorHAnsi" w:cstheme="minorBidi"/>
        </w:rPr>
        <w:t>L</w:t>
      </w:r>
      <w:r>
        <w:rPr>
          <w:rFonts w:asciiTheme="minorHAnsi" w:eastAsiaTheme="minorEastAsia" w:hAnsiTheme="minorHAnsi" w:cstheme="minorBidi"/>
          <w:sz w:val="22"/>
          <w:szCs w:val="22"/>
        </w:rPr>
        <w:t>’identification des principaux risques (réglementaires, MRV, contrepartie, change) et leviers de mitigation ;</w:t>
      </w:r>
    </w:p>
    <w:p w14:paraId="784979D6" w14:textId="77777777" w:rsidR="00401C82" w:rsidRDefault="00000000">
      <w:pPr>
        <w:pStyle w:val="Paragraphedeliste2"/>
        <w:numPr>
          <w:ilvl w:val="0"/>
          <w:numId w:val="21"/>
        </w:numPr>
        <w:spacing w:line="276" w:lineRule="auto"/>
        <w:contextualSpacing/>
        <w:rPr>
          <w:rFonts w:asciiTheme="minorHAnsi" w:hAnsiTheme="minorHAnsi" w:cstheme="minorBidi"/>
          <w:sz w:val="22"/>
          <w:szCs w:val="22"/>
        </w:rPr>
      </w:pPr>
      <w:r>
        <w:rPr>
          <w:rFonts w:asciiTheme="minorHAnsi" w:eastAsiaTheme="minorEastAsia" w:hAnsiTheme="minorHAnsi" w:cstheme="minorBidi"/>
        </w:rPr>
        <w:t>L</w:t>
      </w:r>
      <w:r>
        <w:rPr>
          <w:rFonts w:asciiTheme="minorHAnsi" w:eastAsiaTheme="minorEastAsia" w:hAnsiTheme="minorHAnsi" w:cstheme="minorBidi"/>
          <w:sz w:val="22"/>
          <w:szCs w:val="22"/>
        </w:rPr>
        <w:t xml:space="preserve">a définition d’une architecture financière type (sources &amp; uses of </w:t>
      </w:r>
      <w:proofErr w:type="spellStart"/>
      <w:r>
        <w:rPr>
          <w:rFonts w:asciiTheme="minorHAnsi" w:eastAsiaTheme="minorEastAsia" w:hAnsiTheme="minorHAnsi" w:cstheme="minorBidi"/>
          <w:sz w:val="22"/>
          <w:szCs w:val="22"/>
        </w:rPr>
        <w:t>funds</w:t>
      </w:r>
      <w:proofErr w:type="spellEnd"/>
      <w:r>
        <w:rPr>
          <w:rFonts w:asciiTheme="minorHAnsi" w:eastAsiaTheme="minorEastAsia" w:hAnsiTheme="minorHAnsi" w:cstheme="minorBidi"/>
          <w:sz w:val="22"/>
          <w:szCs w:val="22"/>
        </w:rPr>
        <w:t>) et des principes de canalisation des flux via le FHB.</w:t>
      </w:r>
    </w:p>
    <w:p w14:paraId="35D3FFD4" w14:textId="77777777" w:rsidR="00401C82" w:rsidRDefault="00401C82">
      <w:pPr>
        <w:pStyle w:val="Paragraphedeliste2"/>
        <w:spacing w:line="276" w:lineRule="auto"/>
        <w:ind w:left="0"/>
        <w:contextualSpacing/>
      </w:pPr>
    </w:p>
    <w:p w14:paraId="210A2FE0"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D3-0 :</w:t>
      </w:r>
    </w:p>
    <w:p w14:paraId="1EDB5F45" w14:textId="77777777" w:rsidR="00401C82" w:rsidRDefault="00000000">
      <w:pPr>
        <w:pStyle w:val="Paragraphedeliste2"/>
        <w:spacing w:line="276" w:lineRule="auto"/>
        <w:ind w:left="0"/>
        <w:contextualSpacing/>
        <w:rPr>
          <w:rFonts w:asciiTheme="minorHAnsi" w:eastAsiaTheme="minorEastAsia" w:hAnsiTheme="minorHAnsi" w:cstheme="minorBidi"/>
          <w:sz w:val="22"/>
          <w:szCs w:val="22"/>
        </w:rPr>
      </w:pPr>
      <w:r>
        <w:rPr>
          <w:rFonts w:asciiTheme="minorHAnsi" w:eastAsiaTheme="minorEastAsia" w:hAnsiTheme="minorHAnsi" w:cstheme="minorBidi"/>
          <w:sz w:val="22"/>
          <w:szCs w:val="22"/>
        </w:rPr>
        <w:lastRenderedPageBreak/>
        <w:t xml:space="preserve"> Note d’hypothèses financières et d’architecture du modèle de financement hybride (scénarios VCM / Article 6 / PSE, hypothèses de prix et volumes, risques et leviers de mitigation, principes de canalisation via le FHB).</w:t>
      </w:r>
    </w:p>
    <w:p w14:paraId="60E2AB10" w14:textId="77777777" w:rsidR="00401C82" w:rsidRDefault="00401C82">
      <w:pPr>
        <w:pStyle w:val="Paragraphedeliste2"/>
        <w:spacing w:line="276" w:lineRule="auto"/>
        <w:ind w:left="0"/>
        <w:contextualSpacing/>
      </w:pPr>
    </w:p>
    <w:p w14:paraId="72C96C36"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rPr>
        <w:t>Phase A3-1 – Modélisation financière multi-scénarios (Mois 4–6)</w:t>
      </w:r>
    </w:p>
    <w:p w14:paraId="344946EF"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Construction d’un modèle financier auditable permettant d’évaluer la viabilité économique des projets mangroves.</w:t>
      </w:r>
    </w:p>
    <w:p w14:paraId="7A330747" w14:textId="77777777" w:rsidR="00401C82" w:rsidRDefault="00000000">
      <w:pPr>
        <w:pStyle w:val="Paragraphedeliste2"/>
        <w:spacing w:line="276" w:lineRule="auto"/>
        <w:ind w:left="0"/>
        <w:contextualSpacing/>
        <w:rPr>
          <w:rFonts w:asciiTheme="minorHAnsi" w:hAnsiTheme="minorHAnsi" w:cstheme="minorBidi"/>
          <w:sz w:val="22"/>
          <w:szCs w:val="22"/>
        </w:rPr>
      </w:pPr>
      <w:r>
        <w:br/>
      </w:r>
      <w:r>
        <w:rPr>
          <w:rFonts w:asciiTheme="minorHAnsi" w:hAnsiTheme="minorHAnsi" w:cstheme="minorBidi"/>
          <w:sz w:val="22"/>
          <w:szCs w:val="22"/>
        </w:rPr>
        <w:t>Cette phase inclut :</w:t>
      </w:r>
    </w:p>
    <w:p w14:paraId="12AB2170" w14:textId="77777777" w:rsidR="00401C82" w:rsidRDefault="00000000">
      <w:pPr>
        <w:pStyle w:val="Paragraphedeliste2"/>
        <w:numPr>
          <w:ilvl w:val="0"/>
          <w:numId w:val="20"/>
        </w:numPr>
        <w:spacing w:line="276" w:lineRule="auto"/>
        <w:contextualSpacing/>
        <w:rPr>
          <w:rFonts w:asciiTheme="minorHAnsi" w:hAnsiTheme="minorHAnsi" w:cstheme="minorBidi"/>
          <w:sz w:val="22"/>
          <w:szCs w:val="22"/>
        </w:rPr>
      </w:pPr>
      <w:r>
        <w:rPr>
          <w:rFonts w:asciiTheme="minorHAnsi" w:hAnsiTheme="minorHAnsi" w:cstheme="minorBidi"/>
          <w:sz w:val="22"/>
          <w:szCs w:val="22"/>
        </w:rPr>
        <w:t>La modélisation des flux de trésorerie sur la durée de vie des projets (CAPEX, OPEX, MRV, transactions) ;</w:t>
      </w:r>
    </w:p>
    <w:p w14:paraId="4A2E75DE" w14:textId="77777777" w:rsidR="00401C82" w:rsidRDefault="00000000">
      <w:pPr>
        <w:pStyle w:val="Paragraphedeliste2"/>
        <w:numPr>
          <w:ilvl w:val="0"/>
          <w:numId w:val="20"/>
        </w:numPr>
        <w:spacing w:line="276" w:lineRule="auto"/>
        <w:contextualSpacing/>
        <w:rPr>
          <w:rFonts w:asciiTheme="minorHAnsi" w:hAnsiTheme="minorHAnsi" w:cstheme="minorBidi"/>
          <w:sz w:val="22"/>
          <w:szCs w:val="22"/>
        </w:rPr>
      </w:pPr>
      <w:r>
        <w:rPr>
          <w:rFonts w:asciiTheme="minorHAnsi" w:hAnsiTheme="minorHAnsi" w:cstheme="minorBidi"/>
          <w:sz w:val="22"/>
          <w:szCs w:val="22"/>
        </w:rPr>
        <w:t xml:space="preserve">L’intégration des calendriers d’émission et de monétisation des crédits carbone ; </w:t>
      </w:r>
    </w:p>
    <w:p w14:paraId="736C979E" w14:textId="77777777" w:rsidR="00401C82" w:rsidRDefault="00000000">
      <w:pPr>
        <w:pStyle w:val="Paragraphedeliste2"/>
        <w:numPr>
          <w:ilvl w:val="0"/>
          <w:numId w:val="20"/>
        </w:numPr>
        <w:spacing w:line="276" w:lineRule="auto"/>
        <w:contextualSpacing/>
        <w:rPr>
          <w:rFonts w:asciiTheme="minorHAnsi" w:hAnsiTheme="minorHAnsi" w:cstheme="minorBidi"/>
          <w:sz w:val="22"/>
          <w:szCs w:val="22"/>
        </w:rPr>
      </w:pPr>
      <w:r>
        <w:rPr>
          <w:rFonts w:asciiTheme="minorHAnsi" w:hAnsiTheme="minorHAnsi" w:cstheme="minorBidi"/>
          <w:sz w:val="22"/>
          <w:szCs w:val="22"/>
        </w:rPr>
        <w:t xml:space="preserve">Des analyses de sensibilité (prix, volumes, coûts, risques de décote) ; </w:t>
      </w:r>
    </w:p>
    <w:p w14:paraId="28017DAA" w14:textId="77777777" w:rsidR="00401C82" w:rsidRDefault="00000000">
      <w:pPr>
        <w:pStyle w:val="Paragraphedeliste2"/>
        <w:numPr>
          <w:ilvl w:val="0"/>
          <w:numId w:val="20"/>
        </w:numPr>
        <w:spacing w:line="276" w:lineRule="auto"/>
        <w:contextualSpacing/>
        <w:rPr>
          <w:rFonts w:asciiTheme="minorHAnsi" w:hAnsiTheme="minorHAnsi" w:cstheme="minorBidi"/>
          <w:sz w:val="22"/>
          <w:szCs w:val="22"/>
        </w:rPr>
      </w:pPr>
      <w:r>
        <w:rPr>
          <w:rFonts w:asciiTheme="minorHAnsi" w:hAnsiTheme="minorHAnsi" w:cstheme="minorBidi"/>
          <w:sz w:val="22"/>
          <w:szCs w:val="22"/>
        </w:rPr>
        <w:t>L’évaluation de seuils de viabilité financière (NPV, IRR, besoins de subvention résiduelle).</w:t>
      </w:r>
    </w:p>
    <w:p w14:paraId="5C3EA092" w14:textId="77777777" w:rsidR="00401C82" w:rsidRDefault="00401C82">
      <w:pPr>
        <w:pStyle w:val="Paragraphedeliste2"/>
        <w:spacing w:line="276" w:lineRule="auto"/>
        <w:ind w:left="0"/>
        <w:contextualSpacing/>
      </w:pPr>
    </w:p>
    <w:p w14:paraId="69A2FB9F"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eastAsiaTheme="minorEastAsia" w:hAnsiTheme="minorHAnsi" w:cstheme="minorBidi"/>
          <w:b/>
          <w:bCs/>
          <w:sz w:val="22"/>
          <w:szCs w:val="22"/>
        </w:rPr>
        <w:t>Livrable D3-1 :</w:t>
      </w:r>
    </w:p>
    <w:p w14:paraId="2C9BE2E5"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eastAsiaTheme="minorEastAsia" w:hAnsiTheme="minorHAnsi" w:cstheme="minorBidi"/>
          <w:sz w:val="22"/>
          <w:szCs w:val="22"/>
        </w:rPr>
        <w:t xml:space="preserve"> Modèle financier auditable des projets mangroves (flux de trésorerie, CAPEX/OPEX, MRV, transactions, calendriers d’émission, analyses de sensibilité, NPV/IRR).</w:t>
      </w:r>
      <w:r>
        <w:br/>
      </w:r>
    </w:p>
    <w:p w14:paraId="735C46C0"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b/>
          <w:bCs/>
          <w:sz w:val="22"/>
          <w:szCs w:val="22"/>
        </w:rPr>
        <w:t xml:space="preserve">Phase A3-2 – Structuration du </w:t>
      </w:r>
      <w:proofErr w:type="spellStart"/>
      <w:r>
        <w:rPr>
          <w:rFonts w:asciiTheme="minorHAnsi" w:hAnsiTheme="minorHAnsi" w:cstheme="minorBidi"/>
          <w:b/>
          <w:bCs/>
          <w:sz w:val="22"/>
          <w:szCs w:val="22"/>
        </w:rPr>
        <w:t>term-sheet</w:t>
      </w:r>
      <w:proofErr w:type="spellEnd"/>
      <w:r>
        <w:rPr>
          <w:rFonts w:asciiTheme="minorHAnsi" w:hAnsiTheme="minorHAnsi" w:cstheme="minorBidi"/>
          <w:b/>
          <w:bCs/>
          <w:sz w:val="22"/>
          <w:szCs w:val="22"/>
        </w:rPr>
        <w:t xml:space="preserve"> pré-ERPA et logique de transaction (Mois 7–9)</w:t>
      </w:r>
    </w:p>
    <w:p w14:paraId="3613329B"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hAnsiTheme="minorHAnsi" w:cstheme="minorBidi"/>
          <w:sz w:val="22"/>
          <w:szCs w:val="22"/>
        </w:rPr>
        <w:t xml:space="preserve">Rédaction d’un </w:t>
      </w:r>
      <w:proofErr w:type="spellStart"/>
      <w:r>
        <w:rPr>
          <w:rFonts w:asciiTheme="minorHAnsi" w:hAnsiTheme="minorHAnsi" w:cstheme="minorBidi"/>
          <w:sz w:val="22"/>
          <w:szCs w:val="22"/>
        </w:rPr>
        <w:t>term-sheet</w:t>
      </w:r>
      <w:proofErr w:type="spellEnd"/>
      <w:r>
        <w:rPr>
          <w:rFonts w:asciiTheme="minorHAnsi" w:hAnsiTheme="minorHAnsi" w:cstheme="minorBidi"/>
          <w:sz w:val="22"/>
          <w:szCs w:val="22"/>
        </w:rPr>
        <w:t xml:space="preserve"> préliminaire de type ERPA (Emission Reduction Purchase Agreement) servant de base à des négociations futures avec des acheteurs carbone.</w:t>
      </w:r>
    </w:p>
    <w:p w14:paraId="19892BB8" w14:textId="77777777" w:rsidR="00401C82" w:rsidRDefault="00000000">
      <w:pPr>
        <w:pStyle w:val="Paragraphedeliste2"/>
        <w:spacing w:line="276" w:lineRule="auto"/>
        <w:ind w:left="0"/>
        <w:contextualSpacing/>
        <w:rPr>
          <w:rFonts w:asciiTheme="minorHAnsi" w:hAnsiTheme="minorHAnsi" w:cstheme="minorBidi"/>
          <w:sz w:val="22"/>
          <w:szCs w:val="22"/>
        </w:rPr>
      </w:pPr>
      <w:r>
        <w:br/>
      </w:r>
      <w:r>
        <w:rPr>
          <w:rFonts w:asciiTheme="minorHAnsi" w:hAnsiTheme="minorHAnsi" w:cstheme="minorBidi"/>
          <w:sz w:val="22"/>
          <w:szCs w:val="22"/>
        </w:rPr>
        <w:t>Cette phase comprend :</w:t>
      </w:r>
    </w:p>
    <w:p w14:paraId="3E5EE94B" w14:textId="77777777" w:rsidR="00401C82" w:rsidRDefault="00000000">
      <w:pPr>
        <w:pStyle w:val="Paragraphedeliste2"/>
        <w:numPr>
          <w:ilvl w:val="0"/>
          <w:numId w:val="19"/>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 xml:space="preserve">La définition des clauses clés (volumes, prix indicatifs, calendrier de livraison, conditions suspensives) </w:t>
      </w:r>
    </w:p>
    <w:p w14:paraId="5A28A59B" w14:textId="77777777" w:rsidR="00401C82" w:rsidRDefault="00000000">
      <w:pPr>
        <w:pStyle w:val="Paragraphedeliste2"/>
        <w:numPr>
          <w:ilvl w:val="0"/>
          <w:numId w:val="19"/>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L’intégration des exigences MRV, des responsabilités respectives des parties et des mécanismes de gestion des risques ;</w:t>
      </w:r>
    </w:p>
    <w:p w14:paraId="64661076" w14:textId="77777777" w:rsidR="00401C82" w:rsidRDefault="00000000">
      <w:pPr>
        <w:pStyle w:val="Paragraphedeliste2"/>
        <w:numPr>
          <w:ilvl w:val="0"/>
          <w:numId w:val="19"/>
        </w:numPr>
        <w:spacing w:line="276" w:lineRule="auto"/>
        <w:contextualSpacing/>
        <w:jc w:val="both"/>
        <w:rPr>
          <w:rFonts w:asciiTheme="minorHAnsi" w:hAnsiTheme="minorHAnsi" w:cstheme="minorBidi"/>
          <w:sz w:val="22"/>
          <w:szCs w:val="22"/>
        </w:rPr>
      </w:pPr>
      <w:r>
        <w:rPr>
          <w:rFonts w:asciiTheme="minorHAnsi" w:hAnsiTheme="minorHAnsi" w:cstheme="minorBidi"/>
          <w:sz w:val="22"/>
          <w:szCs w:val="22"/>
        </w:rPr>
        <w:t>La proposition de mécanismes de transparence financière et de fléchage des recettes via le FHB, incluant une logique de partage communautaire et des dispositifs d’audit.</w:t>
      </w:r>
    </w:p>
    <w:p w14:paraId="3A9260F3" w14:textId="77777777" w:rsidR="00401C82" w:rsidRDefault="00401C82">
      <w:pPr>
        <w:pStyle w:val="Paragraphedeliste2"/>
        <w:spacing w:line="276" w:lineRule="auto"/>
        <w:ind w:left="0"/>
        <w:contextualSpacing/>
        <w:jc w:val="both"/>
        <w:rPr>
          <w:rFonts w:asciiTheme="minorHAnsi" w:eastAsiaTheme="minorEastAsia" w:hAnsiTheme="minorHAnsi" w:cstheme="minorBidi"/>
          <w:sz w:val="22"/>
          <w:szCs w:val="22"/>
        </w:rPr>
      </w:pPr>
    </w:p>
    <w:p w14:paraId="1C9E1B34" w14:textId="77777777" w:rsidR="00401C82" w:rsidRDefault="00000000">
      <w:pPr>
        <w:pStyle w:val="Paragraphedeliste2"/>
        <w:spacing w:line="276" w:lineRule="auto"/>
        <w:ind w:left="0"/>
        <w:contextualSpacing/>
        <w:jc w:val="both"/>
        <w:rPr>
          <w:rFonts w:asciiTheme="minorHAnsi" w:hAnsiTheme="minorHAnsi" w:cstheme="minorBidi"/>
          <w:sz w:val="22"/>
          <w:szCs w:val="22"/>
        </w:rPr>
      </w:pPr>
      <w:r>
        <w:rPr>
          <w:rFonts w:asciiTheme="minorHAnsi" w:eastAsiaTheme="minorEastAsia" w:hAnsiTheme="minorHAnsi" w:cstheme="minorBidi"/>
          <w:b/>
          <w:bCs/>
          <w:sz w:val="22"/>
          <w:szCs w:val="22"/>
        </w:rPr>
        <w:t>Livrable D3-2 :</w:t>
      </w:r>
    </w:p>
    <w:p w14:paraId="788653F5" w14:textId="77777777" w:rsidR="00401C82" w:rsidRDefault="00000000">
      <w:pPr>
        <w:pStyle w:val="Paragraphedeliste2"/>
        <w:spacing w:line="276" w:lineRule="auto"/>
        <w:ind w:left="0"/>
        <w:contextualSpacing/>
        <w:jc w:val="both"/>
        <w:rPr>
          <w:rFonts w:asciiTheme="minorHAnsi" w:hAnsiTheme="minorHAnsi" w:cstheme="minorBidi"/>
          <w:sz w:val="22"/>
          <w:szCs w:val="22"/>
        </w:rPr>
      </w:pPr>
      <w:proofErr w:type="spellStart"/>
      <w:r>
        <w:rPr>
          <w:rFonts w:asciiTheme="minorHAnsi" w:eastAsiaTheme="minorEastAsia" w:hAnsiTheme="minorHAnsi" w:cstheme="minorBidi"/>
          <w:sz w:val="22"/>
          <w:szCs w:val="22"/>
        </w:rPr>
        <w:t>Term-sheet</w:t>
      </w:r>
      <w:proofErr w:type="spellEnd"/>
      <w:r>
        <w:rPr>
          <w:rFonts w:asciiTheme="minorHAnsi" w:eastAsiaTheme="minorEastAsia" w:hAnsiTheme="minorHAnsi" w:cstheme="minorBidi"/>
          <w:sz w:val="22"/>
          <w:szCs w:val="22"/>
        </w:rPr>
        <w:t xml:space="preserve"> préliminaire de type ERPA servant de base à des négociations avec des acheteurs carbone.</w:t>
      </w:r>
      <w:r>
        <w:br/>
      </w:r>
    </w:p>
    <w:p w14:paraId="544FD570"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hAnsiTheme="minorHAnsi" w:cstheme="minorBidi"/>
          <w:b/>
          <w:bCs/>
          <w:sz w:val="22"/>
          <w:szCs w:val="22"/>
        </w:rPr>
        <w:t>Phase A3-3 – Plan de capitalisation du FHB et « pitch investisseurs » (Mois 10–12)</w:t>
      </w:r>
    </w:p>
    <w:p w14:paraId="15BC1836" w14:textId="77777777" w:rsidR="00401C82" w:rsidRDefault="00000000">
      <w:pPr>
        <w:pStyle w:val="Paragraphedeliste2"/>
        <w:spacing w:line="276" w:lineRule="auto"/>
        <w:ind w:left="0"/>
        <w:contextualSpacing/>
        <w:rPr>
          <w:rFonts w:asciiTheme="minorHAnsi" w:hAnsiTheme="minorHAnsi" w:cstheme="minorBidi"/>
          <w:sz w:val="22"/>
          <w:szCs w:val="22"/>
        </w:rPr>
      </w:pPr>
      <w:r>
        <w:rPr>
          <w:rFonts w:asciiTheme="minorHAnsi" w:hAnsiTheme="minorHAnsi" w:cstheme="minorBidi"/>
          <w:sz w:val="22"/>
          <w:szCs w:val="22"/>
        </w:rPr>
        <w:t>Élaboration d’un plan de capitalisation renforcé du FHB afin de soutenir le déploiement des projets mangroves.</w:t>
      </w:r>
      <w:r>
        <w:br/>
      </w:r>
      <w:r>
        <w:rPr>
          <w:rFonts w:asciiTheme="minorHAnsi" w:hAnsiTheme="minorHAnsi" w:cstheme="minorBidi"/>
          <w:sz w:val="22"/>
          <w:szCs w:val="22"/>
        </w:rPr>
        <w:t>Cette phase inclut :</w:t>
      </w:r>
    </w:p>
    <w:p w14:paraId="6BF98005" w14:textId="77777777" w:rsidR="00401C82" w:rsidRDefault="00000000">
      <w:pPr>
        <w:pStyle w:val="Paragraphedeliste2"/>
        <w:numPr>
          <w:ilvl w:val="0"/>
          <w:numId w:val="18"/>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sz w:val="22"/>
          <w:szCs w:val="22"/>
        </w:rPr>
        <w:t>L’identification des sources de financement potentielles (bailleurs, fonds climat, investisseurs privés, acheteurs carbone) ;</w:t>
      </w:r>
    </w:p>
    <w:p w14:paraId="5DB126B1" w14:textId="77777777" w:rsidR="00401C82" w:rsidRDefault="00000000">
      <w:pPr>
        <w:pStyle w:val="Paragraphedeliste2"/>
        <w:numPr>
          <w:ilvl w:val="0"/>
          <w:numId w:val="18"/>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La définition des critères d’éligibilité des projets et des modalités de gouvernance financière </w:t>
      </w:r>
    </w:p>
    <w:p w14:paraId="70263D46" w14:textId="77777777" w:rsidR="00401C82" w:rsidRDefault="00000000">
      <w:pPr>
        <w:pStyle w:val="Paragraphedeliste2"/>
        <w:numPr>
          <w:ilvl w:val="0"/>
          <w:numId w:val="18"/>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sz w:val="22"/>
          <w:szCs w:val="22"/>
        </w:rPr>
        <w:lastRenderedPageBreak/>
        <w:t>La préparation de supports de communication et d’investissement (teaser, note d’investissement) ;</w:t>
      </w:r>
    </w:p>
    <w:p w14:paraId="060992A1" w14:textId="77777777" w:rsidR="00401C82" w:rsidRDefault="00000000">
      <w:pPr>
        <w:pStyle w:val="Paragraphedeliste2"/>
        <w:numPr>
          <w:ilvl w:val="0"/>
          <w:numId w:val="18"/>
        </w:numPr>
        <w:spacing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sz w:val="22"/>
          <w:szCs w:val="22"/>
        </w:rPr>
        <w:t>L’organisation d’une session de présentation (« pitch ») à destination de bailleurs et investisseurs potentiels.</w:t>
      </w:r>
    </w:p>
    <w:p w14:paraId="384AE90E" w14:textId="77777777" w:rsidR="00401C82" w:rsidRDefault="00000000">
      <w:pPr>
        <w:spacing w:before="240" w:after="240"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D3-3 :</w:t>
      </w:r>
      <w:r>
        <w:br/>
      </w:r>
      <w:r>
        <w:rPr>
          <w:rFonts w:asciiTheme="minorHAnsi" w:eastAsiaTheme="minorEastAsia" w:hAnsiTheme="minorHAnsi" w:cstheme="minorBidi"/>
          <w:sz w:val="22"/>
          <w:szCs w:val="22"/>
        </w:rPr>
        <w:t xml:space="preserve"> Plan de capitalisation renforcé du Fonds Haïtien pour la Biodiversité (FHB).</w:t>
      </w:r>
    </w:p>
    <w:p w14:paraId="2CDB8B43" w14:textId="77777777" w:rsidR="00401C82" w:rsidRDefault="00000000">
      <w:pPr>
        <w:spacing w:before="240" w:after="240" w:line="276" w:lineRule="auto"/>
        <w:contextualSpacing/>
        <w:rPr>
          <w:rFonts w:asciiTheme="minorHAnsi" w:eastAsiaTheme="minorEastAsia" w:hAnsiTheme="minorHAnsi" w:cstheme="minorBidi"/>
          <w:sz w:val="22"/>
          <w:szCs w:val="22"/>
        </w:rPr>
      </w:pPr>
      <w:r>
        <w:rPr>
          <w:rFonts w:asciiTheme="minorHAnsi" w:eastAsiaTheme="minorEastAsia" w:hAnsiTheme="minorHAnsi" w:cstheme="minorBidi"/>
          <w:b/>
          <w:bCs/>
          <w:sz w:val="22"/>
          <w:szCs w:val="22"/>
        </w:rPr>
        <w:t>Livrable D3-4 :</w:t>
      </w:r>
      <w:r>
        <w:br/>
      </w:r>
      <w:r>
        <w:rPr>
          <w:rFonts w:asciiTheme="minorHAnsi" w:eastAsiaTheme="minorEastAsia" w:hAnsiTheme="minorHAnsi" w:cstheme="minorBidi"/>
          <w:sz w:val="22"/>
          <w:szCs w:val="22"/>
        </w:rPr>
        <w:t xml:space="preserve"> Supports investisseurs (teaser, note d’investissement) et compte rendu de la session de présentation à destination de bailleurs et investisseurs.</w:t>
      </w:r>
    </w:p>
    <w:p w14:paraId="7D7A669F" w14:textId="77777777" w:rsidR="00401C82" w:rsidRDefault="00401C82">
      <w:pPr>
        <w:pStyle w:val="Paragraphedeliste2"/>
        <w:spacing w:line="276" w:lineRule="auto"/>
        <w:ind w:left="0"/>
        <w:contextualSpacing/>
        <w:rPr>
          <w:rFonts w:asciiTheme="minorHAnsi" w:hAnsiTheme="minorHAnsi" w:cstheme="minorHAnsi"/>
          <w:sz w:val="22"/>
          <w:szCs w:val="22"/>
        </w:rPr>
      </w:pPr>
    </w:p>
    <w:p w14:paraId="5BBFE76F" w14:textId="77777777" w:rsidR="00401C82" w:rsidRDefault="00000000">
      <w:pPr>
        <w:numPr>
          <w:ilvl w:val="1"/>
          <w:numId w:val="31"/>
        </w:numPr>
        <w:tabs>
          <w:tab w:val="clear" w:pos="1440"/>
          <w:tab w:val="num" w:pos="900"/>
        </w:tabs>
        <w:ind w:left="900"/>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Livrables attendus</w:t>
      </w:r>
    </w:p>
    <w:p w14:paraId="6C1E68F6" w14:textId="77777777" w:rsidR="00401C82" w:rsidRDefault="00401C82">
      <w:pPr>
        <w:tabs>
          <w:tab w:val="num" w:pos="900"/>
        </w:tabs>
        <w:ind w:left="900"/>
        <w:rPr>
          <w:rFonts w:asciiTheme="minorHAnsi" w:eastAsia="Arial Unicode MS" w:hAnsiTheme="minorHAnsi" w:cstheme="minorBidi"/>
          <w:b/>
          <w:bCs/>
          <w:sz w:val="22"/>
          <w:szCs w:val="22"/>
          <w:lang w:eastAsia="en-US"/>
        </w:rPr>
      </w:pPr>
    </w:p>
    <w:tbl>
      <w:tblPr>
        <w:tblStyle w:val="Grilledetableauclaire"/>
        <w:tblW w:w="0" w:type="auto"/>
        <w:tblLook w:val="06A0" w:firstRow="1" w:lastRow="0" w:firstColumn="1" w:lastColumn="0" w:noHBand="1" w:noVBand="1"/>
      </w:tblPr>
      <w:tblGrid>
        <w:gridCol w:w="1837"/>
        <w:gridCol w:w="1286"/>
        <w:gridCol w:w="4240"/>
        <w:gridCol w:w="1699"/>
      </w:tblGrid>
      <w:tr w:rsidR="00401C82" w14:paraId="61FF350C" w14:textId="77777777">
        <w:trPr>
          <w:trHeight w:val="300"/>
        </w:trPr>
        <w:tc>
          <w:tcPr>
            <w:tcW w:w="1845" w:type="dxa"/>
          </w:tcPr>
          <w:p w14:paraId="65AD84D3" w14:textId="77777777" w:rsidR="00401C82" w:rsidRDefault="00000000">
            <w:pPr>
              <w:jc w:val="cente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w:t>
            </w:r>
          </w:p>
        </w:tc>
        <w:tc>
          <w:tcPr>
            <w:tcW w:w="1298" w:type="dxa"/>
          </w:tcPr>
          <w:p w14:paraId="4CCD7C60" w14:textId="77777777" w:rsidR="00401C82" w:rsidRDefault="00000000">
            <w:pPr>
              <w:spacing w:line="259" w:lineRule="auto"/>
              <w:jc w:val="center"/>
            </w:pPr>
            <w:r>
              <w:rPr>
                <w:rFonts w:asciiTheme="minorHAnsi" w:eastAsiaTheme="minorEastAsia" w:hAnsiTheme="minorHAnsi" w:cstheme="minorBidi"/>
                <w:b/>
                <w:bCs/>
                <w:sz w:val="22"/>
                <w:szCs w:val="22"/>
              </w:rPr>
              <w:t xml:space="preserve">Ref. </w:t>
            </w:r>
          </w:p>
        </w:tc>
        <w:tc>
          <w:tcPr>
            <w:tcW w:w="4282" w:type="dxa"/>
          </w:tcPr>
          <w:p w14:paraId="02295408" w14:textId="77777777" w:rsidR="00401C82" w:rsidRDefault="00000000">
            <w:pPr>
              <w:jc w:val="cente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Intitulé du livrable</w:t>
            </w:r>
          </w:p>
        </w:tc>
        <w:tc>
          <w:tcPr>
            <w:tcW w:w="1710" w:type="dxa"/>
          </w:tcPr>
          <w:p w14:paraId="068972A1" w14:textId="77777777" w:rsidR="00401C82" w:rsidRDefault="00000000">
            <w:pPr>
              <w:jc w:val="cente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 xml:space="preserve">Date de livraison (à partir du Kick </w:t>
            </w:r>
            <w:proofErr w:type="gramStart"/>
            <w:r>
              <w:rPr>
                <w:rFonts w:asciiTheme="minorHAnsi" w:eastAsiaTheme="minorEastAsia" w:hAnsiTheme="minorHAnsi" w:cstheme="minorBidi"/>
                <w:b/>
                <w:bCs/>
                <w:sz w:val="22"/>
                <w:szCs w:val="22"/>
              </w:rPr>
              <w:t>Off Meeting</w:t>
            </w:r>
            <w:proofErr w:type="gramEnd"/>
            <w:r>
              <w:rPr>
                <w:rFonts w:asciiTheme="minorHAnsi" w:eastAsiaTheme="minorEastAsia" w:hAnsiTheme="minorHAnsi" w:cstheme="minorBidi"/>
                <w:b/>
                <w:bCs/>
                <w:sz w:val="22"/>
                <w:szCs w:val="22"/>
              </w:rPr>
              <w:t xml:space="preserve"> -(T0)</w:t>
            </w:r>
          </w:p>
        </w:tc>
      </w:tr>
      <w:tr w:rsidR="00401C82" w14:paraId="56542A2A" w14:textId="77777777">
        <w:trPr>
          <w:trHeight w:val="300"/>
        </w:trPr>
        <w:tc>
          <w:tcPr>
            <w:tcW w:w="1845" w:type="dxa"/>
            <w:vMerge w:val="restart"/>
            <w:vAlign w:val="center"/>
          </w:tcPr>
          <w:p w14:paraId="16A304CA" w14:textId="77777777" w:rsidR="00401C82" w:rsidRDefault="0000000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 0 – Lancement et cadrage</w:t>
            </w:r>
          </w:p>
        </w:tc>
        <w:tc>
          <w:tcPr>
            <w:tcW w:w="1298" w:type="dxa"/>
          </w:tcPr>
          <w:p w14:paraId="06FB721B"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D0-0</w:t>
            </w:r>
          </w:p>
        </w:tc>
        <w:tc>
          <w:tcPr>
            <w:tcW w:w="4282" w:type="dxa"/>
          </w:tcPr>
          <w:p w14:paraId="77553C8A"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de démarrage de mission et plan de travail détaillé (méthodologie, calendrier, coordination, validation)</w:t>
            </w:r>
          </w:p>
        </w:tc>
        <w:tc>
          <w:tcPr>
            <w:tcW w:w="1710" w:type="dxa"/>
          </w:tcPr>
          <w:p w14:paraId="1C0065F5"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semaines</w:t>
            </w:r>
          </w:p>
        </w:tc>
      </w:tr>
      <w:tr w:rsidR="00401C82" w14:paraId="52935D6E" w14:textId="77777777">
        <w:trPr>
          <w:trHeight w:val="300"/>
        </w:trPr>
        <w:tc>
          <w:tcPr>
            <w:tcW w:w="1845" w:type="dxa"/>
            <w:vMerge/>
          </w:tcPr>
          <w:p w14:paraId="75E27601" w14:textId="77777777" w:rsidR="00401C82" w:rsidRDefault="00401C82"/>
        </w:tc>
        <w:tc>
          <w:tcPr>
            <w:tcW w:w="1298" w:type="dxa"/>
          </w:tcPr>
          <w:p w14:paraId="0BD60206"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D0-1</w:t>
            </w:r>
          </w:p>
        </w:tc>
        <w:tc>
          <w:tcPr>
            <w:tcW w:w="4282" w:type="dxa"/>
          </w:tcPr>
          <w:p w14:paraId="2C1844D2"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 rendu de la réunion de lancement (objectifs, rôles, jalons, circuits de validation)</w:t>
            </w:r>
          </w:p>
        </w:tc>
        <w:tc>
          <w:tcPr>
            <w:tcW w:w="1710" w:type="dxa"/>
          </w:tcPr>
          <w:p w14:paraId="3A14FF4F"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semaines</w:t>
            </w:r>
          </w:p>
        </w:tc>
      </w:tr>
      <w:tr w:rsidR="00401C82" w14:paraId="15E68D4E" w14:textId="77777777">
        <w:trPr>
          <w:trHeight w:val="300"/>
        </w:trPr>
        <w:tc>
          <w:tcPr>
            <w:tcW w:w="1845" w:type="dxa"/>
            <w:vMerge w:val="restart"/>
            <w:vAlign w:val="center"/>
          </w:tcPr>
          <w:p w14:paraId="7A7415BB" w14:textId="77777777" w:rsidR="00401C82" w:rsidRDefault="0000000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 I – Action 1 : Diagnostic stratégique et feuille de route</w:t>
            </w:r>
          </w:p>
        </w:tc>
        <w:tc>
          <w:tcPr>
            <w:tcW w:w="1298" w:type="dxa"/>
          </w:tcPr>
          <w:p w14:paraId="52729FCB"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D1-0</w:t>
            </w:r>
          </w:p>
        </w:tc>
        <w:tc>
          <w:tcPr>
            <w:tcW w:w="4282" w:type="dxa"/>
          </w:tcPr>
          <w:p w14:paraId="12690823"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 rendu de l’atelier multipartite de cadrage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 ANAP, ANDH, FHB, DUE, OSC)</w:t>
            </w:r>
          </w:p>
        </w:tc>
        <w:tc>
          <w:tcPr>
            <w:tcW w:w="1710" w:type="dxa"/>
          </w:tcPr>
          <w:p w14:paraId="6269F4F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mois</w:t>
            </w:r>
          </w:p>
        </w:tc>
      </w:tr>
      <w:tr w:rsidR="00401C82" w14:paraId="54D61E2C" w14:textId="77777777">
        <w:trPr>
          <w:trHeight w:val="300"/>
        </w:trPr>
        <w:tc>
          <w:tcPr>
            <w:tcW w:w="1845" w:type="dxa"/>
            <w:vMerge/>
          </w:tcPr>
          <w:p w14:paraId="48C7B550" w14:textId="77777777" w:rsidR="00401C82" w:rsidRDefault="00401C82"/>
        </w:tc>
        <w:tc>
          <w:tcPr>
            <w:tcW w:w="1298" w:type="dxa"/>
          </w:tcPr>
          <w:p w14:paraId="30839EF2"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D1-1</w:t>
            </w:r>
          </w:p>
        </w:tc>
        <w:tc>
          <w:tcPr>
            <w:tcW w:w="4282" w:type="dxa"/>
          </w:tcPr>
          <w:p w14:paraId="44757E6F"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Registre structuré et consolidé des parties prenantes (rôles, intérêts, contraintes)</w:t>
            </w:r>
          </w:p>
        </w:tc>
        <w:tc>
          <w:tcPr>
            <w:tcW w:w="1710" w:type="dxa"/>
          </w:tcPr>
          <w:p w14:paraId="6A803DF7"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mois</w:t>
            </w:r>
          </w:p>
        </w:tc>
      </w:tr>
      <w:tr w:rsidR="00401C82" w14:paraId="336395B3" w14:textId="77777777">
        <w:trPr>
          <w:trHeight w:val="300"/>
        </w:trPr>
        <w:tc>
          <w:tcPr>
            <w:tcW w:w="1845" w:type="dxa"/>
            <w:vMerge/>
          </w:tcPr>
          <w:p w14:paraId="355057F9" w14:textId="77777777" w:rsidR="00401C82" w:rsidRDefault="00401C82"/>
        </w:tc>
        <w:tc>
          <w:tcPr>
            <w:tcW w:w="1298" w:type="dxa"/>
          </w:tcPr>
          <w:p w14:paraId="664BCB1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D1-2</w:t>
            </w:r>
          </w:p>
        </w:tc>
        <w:tc>
          <w:tcPr>
            <w:tcW w:w="4282" w:type="dxa"/>
          </w:tcPr>
          <w:p w14:paraId="04BA1C5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Protocole de validation institutionnelle des livrables</w:t>
            </w:r>
          </w:p>
        </w:tc>
        <w:tc>
          <w:tcPr>
            <w:tcW w:w="1710" w:type="dxa"/>
          </w:tcPr>
          <w:p w14:paraId="72DD6B2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mois</w:t>
            </w:r>
          </w:p>
        </w:tc>
      </w:tr>
      <w:tr w:rsidR="00401C82" w14:paraId="5827EF06" w14:textId="77777777">
        <w:trPr>
          <w:trHeight w:val="300"/>
        </w:trPr>
        <w:tc>
          <w:tcPr>
            <w:tcW w:w="1845" w:type="dxa"/>
            <w:vMerge/>
          </w:tcPr>
          <w:p w14:paraId="0E72BD3C" w14:textId="77777777" w:rsidR="00401C82" w:rsidRDefault="00401C82"/>
        </w:tc>
        <w:tc>
          <w:tcPr>
            <w:tcW w:w="1298" w:type="dxa"/>
          </w:tcPr>
          <w:p w14:paraId="62D26C07"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D1-3</w:t>
            </w:r>
          </w:p>
        </w:tc>
        <w:tc>
          <w:tcPr>
            <w:tcW w:w="4282" w:type="dxa"/>
          </w:tcPr>
          <w:p w14:paraId="3D87427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Rapport consolidé de gap </w:t>
            </w:r>
            <w:proofErr w:type="spellStart"/>
            <w:r>
              <w:rPr>
                <w:rFonts w:asciiTheme="minorHAnsi" w:eastAsiaTheme="minorEastAsia" w:hAnsiTheme="minorHAnsi" w:cstheme="minorBidi"/>
                <w:sz w:val="22"/>
                <w:szCs w:val="22"/>
              </w:rPr>
              <w:t>analysis</w:t>
            </w:r>
            <w:proofErr w:type="spellEnd"/>
            <w:r>
              <w:rPr>
                <w:rFonts w:asciiTheme="minorHAnsi" w:eastAsiaTheme="minorEastAsia" w:hAnsiTheme="minorHAnsi" w:cstheme="minorBidi"/>
                <w:sz w:val="22"/>
                <w:szCs w:val="22"/>
              </w:rPr>
              <w:t xml:space="preserve"> (gouvernance, MRV, exigences marché, tenure, cogestion, partage des bénéfices)</w:t>
            </w:r>
          </w:p>
        </w:tc>
        <w:tc>
          <w:tcPr>
            <w:tcW w:w="1710" w:type="dxa"/>
          </w:tcPr>
          <w:p w14:paraId="090D23ED"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+ 6 mois</w:t>
            </w:r>
          </w:p>
        </w:tc>
      </w:tr>
      <w:tr w:rsidR="00401C82" w14:paraId="7ADD1845" w14:textId="77777777">
        <w:trPr>
          <w:trHeight w:val="300"/>
        </w:trPr>
        <w:tc>
          <w:tcPr>
            <w:tcW w:w="1845" w:type="dxa"/>
            <w:vMerge/>
          </w:tcPr>
          <w:p w14:paraId="0F098E4D" w14:textId="77777777" w:rsidR="00401C82" w:rsidRDefault="00401C82"/>
        </w:tc>
        <w:tc>
          <w:tcPr>
            <w:tcW w:w="1298" w:type="dxa"/>
          </w:tcPr>
          <w:p w14:paraId="7CA4E0A2"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D1-4</w:t>
            </w:r>
          </w:p>
        </w:tc>
        <w:tc>
          <w:tcPr>
            <w:tcW w:w="4282" w:type="dxa"/>
          </w:tcPr>
          <w:p w14:paraId="5C4A9DB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Projet de feuille de route nationale « carbone mangroves » 2025–2035 (objectifs, coûts, séquençage, articulation bailleurs)</w:t>
            </w:r>
          </w:p>
        </w:tc>
        <w:tc>
          <w:tcPr>
            <w:tcW w:w="1710" w:type="dxa"/>
          </w:tcPr>
          <w:p w14:paraId="35904613"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401C82" w14:paraId="0D6B94C2" w14:textId="77777777">
        <w:trPr>
          <w:trHeight w:val="300"/>
        </w:trPr>
        <w:tc>
          <w:tcPr>
            <w:tcW w:w="1845" w:type="dxa"/>
            <w:vMerge/>
          </w:tcPr>
          <w:p w14:paraId="0EF91950" w14:textId="77777777" w:rsidR="00401C82" w:rsidRDefault="00401C82"/>
        </w:tc>
        <w:tc>
          <w:tcPr>
            <w:tcW w:w="1298" w:type="dxa"/>
          </w:tcPr>
          <w:p w14:paraId="054CCA7D"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D1-5</w:t>
            </w:r>
          </w:p>
        </w:tc>
        <w:tc>
          <w:tcPr>
            <w:tcW w:w="4282" w:type="dxa"/>
          </w:tcPr>
          <w:p w14:paraId="6E00C84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juridique sur le partage des revenus carbone</w:t>
            </w:r>
          </w:p>
        </w:tc>
        <w:tc>
          <w:tcPr>
            <w:tcW w:w="1710" w:type="dxa"/>
          </w:tcPr>
          <w:p w14:paraId="2F0FD503"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401C82" w14:paraId="6B995BAA" w14:textId="77777777">
        <w:trPr>
          <w:trHeight w:val="300"/>
        </w:trPr>
        <w:tc>
          <w:tcPr>
            <w:tcW w:w="1845" w:type="dxa"/>
            <w:vMerge/>
          </w:tcPr>
          <w:p w14:paraId="73368095" w14:textId="77777777" w:rsidR="00401C82" w:rsidRDefault="00401C82"/>
        </w:tc>
        <w:tc>
          <w:tcPr>
            <w:tcW w:w="1298" w:type="dxa"/>
          </w:tcPr>
          <w:p w14:paraId="0CEFD77B"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D1-6</w:t>
            </w:r>
          </w:p>
        </w:tc>
        <w:tc>
          <w:tcPr>
            <w:tcW w:w="4282" w:type="dxa"/>
          </w:tcPr>
          <w:p w14:paraId="682A4D31"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Modèles de conventions de cogestion communautaire et principes FPIC (formats éditables)</w:t>
            </w:r>
          </w:p>
        </w:tc>
        <w:tc>
          <w:tcPr>
            <w:tcW w:w="1710" w:type="dxa"/>
          </w:tcPr>
          <w:p w14:paraId="39E043E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401C82" w14:paraId="47C0709C" w14:textId="77777777">
        <w:trPr>
          <w:trHeight w:val="300"/>
        </w:trPr>
        <w:tc>
          <w:tcPr>
            <w:tcW w:w="1845" w:type="dxa"/>
            <w:vMerge/>
          </w:tcPr>
          <w:p w14:paraId="755E80CA" w14:textId="77777777" w:rsidR="00401C82" w:rsidRDefault="00401C82"/>
        </w:tc>
        <w:tc>
          <w:tcPr>
            <w:tcW w:w="1298" w:type="dxa"/>
          </w:tcPr>
          <w:p w14:paraId="457FC549"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D1-7</w:t>
            </w:r>
          </w:p>
        </w:tc>
        <w:tc>
          <w:tcPr>
            <w:tcW w:w="4282" w:type="dxa"/>
          </w:tcPr>
          <w:p w14:paraId="51C05DC1"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Feuille de route nationale « carbone mangroves » 2025–2035 finalisée et adoptée</w:t>
            </w:r>
          </w:p>
        </w:tc>
        <w:tc>
          <w:tcPr>
            <w:tcW w:w="1710" w:type="dxa"/>
          </w:tcPr>
          <w:p w14:paraId="5BD9A5F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401C82" w14:paraId="36DEAD7E" w14:textId="77777777">
        <w:trPr>
          <w:trHeight w:val="300"/>
        </w:trPr>
        <w:tc>
          <w:tcPr>
            <w:tcW w:w="1845" w:type="dxa"/>
            <w:vMerge/>
          </w:tcPr>
          <w:p w14:paraId="3CACEAE3" w14:textId="77777777" w:rsidR="00401C82" w:rsidRDefault="00401C82"/>
        </w:tc>
        <w:tc>
          <w:tcPr>
            <w:tcW w:w="1298" w:type="dxa"/>
          </w:tcPr>
          <w:p w14:paraId="50BBD49D"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D1-8</w:t>
            </w:r>
          </w:p>
        </w:tc>
        <w:tc>
          <w:tcPr>
            <w:tcW w:w="4282" w:type="dxa"/>
          </w:tcPr>
          <w:p w14:paraId="50D8762F"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Comptes rendus des ateliers de validation et documentation d’appropriation institutionnelle</w:t>
            </w:r>
          </w:p>
        </w:tc>
        <w:tc>
          <w:tcPr>
            <w:tcW w:w="1710" w:type="dxa"/>
          </w:tcPr>
          <w:p w14:paraId="1B3AB92D"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401C82" w14:paraId="4DF69D04" w14:textId="77777777">
        <w:trPr>
          <w:trHeight w:val="300"/>
        </w:trPr>
        <w:tc>
          <w:tcPr>
            <w:tcW w:w="1845" w:type="dxa"/>
            <w:vMerge w:val="restart"/>
            <w:vAlign w:val="center"/>
          </w:tcPr>
          <w:p w14:paraId="17B292D1" w14:textId="77777777" w:rsidR="00401C82" w:rsidRDefault="0000000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lastRenderedPageBreak/>
              <w:t>Phase II – Action 2 : Registre ITMO et autorisation (Article 6.2)</w:t>
            </w:r>
          </w:p>
        </w:tc>
        <w:tc>
          <w:tcPr>
            <w:tcW w:w="1298" w:type="dxa"/>
          </w:tcPr>
          <w:p w14:paraId="38B71FD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D2-0</w:t>
            </w:r>
          </w:p>
        </w:tc>
        <w:tc>
          <w:tcPr>
            <w:tcW w:w="4282" w:type="dxa"/>
          </w:tcPr>
          <w:p w14:paraId="644C37C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Note conceptuelle du registre ITMO et des exigences d’intégrité (traçabilité, </w:t>
            </w:r>
            <w:proofErr w:type="spellStart"/>
            <w:r>
              <w:rPr>
                <w:rFonts w:asciiTheme="minorHAnsi" w:eastAsiaTheme="minorEastAsia" w:hAnsiTheme="minorHAnsi" w:cstheme="minorBidi"/>
                <w:sz w:val="22"/>
                <w:szCs w:val="22"/>
              </w:rPr>
              <w:t>auditabilité</w:t>
            </w:r>
            <w:proofErr w:type="spellEnd"/>
            <w:r>
              <w:rPr>
                <w:rFonts w:asciiTheme="minorHAnsi" w:eastAsiaTheme="minorEastAsia" w:hAnsiTheme="minorHAnsi" w:cstheme="minorBidi"/>
                <w:sz w:val="22"/>
                <w:szCs w:val="22"/>
              </w:rPr>
              <w:t>, gouvernance)</w:t>
            </w:r>
          </w:p>
        </w:tc>
        <w:tc>
          <w:tcPr>
            <w:tcW w:w="1710" w:type="dxa"/>
          </w:tcPr>
          <w:p w14:paraId="5B0445CC"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+ 3 mois</w:t>
            </w:r>
          </w:p>
        </w:tc>
      </w:tr>
      <w:tr w:rsidR="00401C82" w14:paraId="3971F1ED" w14:textId="77777777">
        <w:trPr>
          <w:trHeight w:val="300"/>
        </w:trPr>
        <w:tc>
          <w:tcPr>
            <w:tcW w:w="1845" w:type="dxa"/>
            <w:vMerge/>
          </w:tcPr>
          <w:p w14:paraId="08F2909A" w14:textId="77777777" w:rsidR="00401C82" w:rsidRDefault="00401C82"/>
        </w:tc>
        <w:tc>
          <w:tcPr>
            <w:tcW w:w="1298" w:type="dxa"/>
          </w:tcPr>
          <w:p w14:paraId="5CA217DF"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D2-1</w:t>
            </w:r>
          </w:p>
        </w:tc>
        <w:tc>
          <w:tcPr>
            <w:tcW w:w="4282" w:type="dxa"/>
          </w:tcPr>
          <w:p w14:paraId="517A9B21"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Procédure nationale d’autorisation ITMO (Article 6.2)</w:t>
            </w:r>
          </w:p>
        </w:tc>
        <w:tc>
          <w:tcPr>
            <w:tcW w:w="1710" w:type="dxa"/>
          </w:tcPr>
          <w:p w14:paraId="679E2803"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+ 7 mois</w:t>
            </w:r>
          </w:p>
        </w:tc>
      </w:tr>
      <w:tr w:rsidR="00401C82" w14:paraId="3E780222" w14:textId="77777777">
        <w:trPr>
          <w:trHeight w:val="300"/>
        </w:trPr>
        <w:tc>
          <w:tcPr>
            <w:tcW w:w="1845" w:type="dxa"/>
            <w:vMerge/>
          </w:tcPr>
          <w:p w14:paraId="635AEE15" w14:textId="77777777" w:rsidR="00401C82" w:rsidRDefault="00401C82"/>
        </w:tc>
        <w:tc>
          <w:tcPr>
            <w:tcW w:w="1298" w:type="dxa"/>
          </w:tcPr>
          <w:p w14:paraId="326C856E"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D2-2</w:t>
            </w:r>
          </w:p>
        </w:tc>
        <w:tc>
          <w:tcPr>
            <w:tcW w:w="4282" w:type="dxa"/>
          </w:tcPr>
          <w:p w14:paraId="084792B9"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Lettre d’Autorisation-type (</w:t>
            </w:r>
            <w:proofErr w:type="spellStart"/>
            <w:r>
              <w:rPr>
                <w:rFonts w:asciiTheme="minorHAnsi" w:eastAsiaTheme="minorEastAsia" w:hAnsiTheme="minorHAnsi" w:cstheme="minorBidi"/>
                <w:sz w:val="22"/>
                <w:szCs w:val="22"/>
              </w:rPr>
              <w:t>LoA</w:t>
            </w:r>
            <w:proofErr w:type="spellEnd"/>
            <w:r>
              <w:rPr>
                <w:rFonts w:asciiTheme="minorHAnsi" w:eastAsiaTheme="minorEastAsia" w:hAnsiTheme="minorHAnsi" w:cstheme="minorBidi"/>
                <w:sz w:val="22"/>
                <w:szCs w:val="22"/>
              </w:rPr>
              <w:t>) modifiable</w:t>
            </w:r>
          </w:p>
        </w:tc>
        <w:tc>
          <w:tcPr>
            <w:tcW w:w="1710" w:type="dxa"/>
          </w:tcPr>
          <w:p w14:paraId="3CD47ACE"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+ 7 mois</w:t>
            </w:r>
          </w:p>
        </w:tc>
      </w:tr>
      <w:tr w:rsidR="00401C82" w14:paraId="4B6117D5" w14:textId="77777777">
        <w:trPr>
          <w:trHeight w:val="300"/>
        </w:trPr>
        <w:tc>
          <w:tcPr>
            <w:tcW w:w="1845" w:type="dxa"/>
            <w:vMerge/>
          </w:tcPr>
          <w:p w14:paraId="1CF6AF44" w14:textId="77777777" w:rsidR="00401C82" w:rsidRDefault="00401C82"/>
        </w:tc>
        <w:tc>
          <w:tcPr>
            <w:tcW w:w="1298" w:type="dxa"/>
          </w:tcPr>
          <w:p w14:paraId="3EAE802C"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D2-3</w:t>
            </w:r>
          </w:p>
        </w:tc>
        <w:tc>
          <w:tcPr>
            <w:tcW w:w="4282" w:type="dxa"/>
          </w:tcPr>
          <w:p w14:paraId="4777E1DD"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Canevas de pré-accord </w:t>
            </w:r>
            <w:proofErr w:type="spellStart"/>
            <w:r>
              <w:rPr>
                <w:rFonts w:asciiTheme="minorHAnsi" w:eastAsiaTheme="minorEastAsia" w:hAnsiTheme="minorHAnsi" w:cstheme="minorBidi"/>
                <w:sz w:val="22"/>
                <w:szCs w:val="22"/>
              </w:rPr>
              <w:t>MdE</w:t>
            </w:r>
            <w:proofErr w:type="spellEnd"/>
            <w:r>
              <w:rPr>
                <w:rFonts w:asciiTheme="minorHAnsi" w:eastAsiaTheme="minorEastAsia" w:hAnsiTheme="minorHAnsi" w:cstheme="minorBidi"/>
                <w:sz w:val="22"/>
                <w:szCs w:val="22"/>
              </w:rPr>
              <w:t>–MAE-MEF</w:t>
            </w:r>
          </w:p>
        </w:tc>
        <w:tc>
          <w:tcPr>
            <w:tcW w:w="1710" w:type="dxa"/>
          </w:tcPr>
          <w:p w14:paraId="5D20B8DE"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+ 7 mois</w:t>
            </w:r>
          </w:p>
        </w:tc>
      </w:tr>
      <w:tr w:rsidR="00401C82" w14:paraId="7ADC4017" w14:textId="77777777">
        <w:trPr>
          <w:trHeight w:val="300"/>
        </w:trPr>
        <w:tc>
          <w:tcPr>
            <w:tcW w:w="1845" w:type="dxa"/>
            <w:vMerge/>
          </w:tcPr>
          <w:p w14:paraId="66DC1188" w14:textId="77777777" w:rsidR="00401C82" w:rsidRDefault="00401C82"/>
        </w:tc>
        <w:tc>
          <w:tcPr>
            <w:tcW w:w="1298" w:type="dxa"/>
          </w:tcPr>
          <w:p w14:paraId="23996F5E"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D2-4</w:t>
            </w:r>
          </w:p>
        </w:tc>
        <w:tc>
          <w:tcPr>
            <w:tcW w:w="4282" w:type="dxa"/>
          </w:tcPr>
          <w:p w14:paraId="50521E46" w14:textId="77777777" w:rsidR="00401C82" w:rsidRDefault="00000000">
            <w:pPr>
              <w:rPr>
                <w:rFonts w:asciiTheme="minorHAnsi" w:eastAsiaTheme="minorEastAsia" w:hAnsiTheme="minorHAnsi" w:cstheme="minorBidi"/>
                <w:sz w:val="22"/>
                <w:szCs w:val="22"/>
                <w:lang w:val="en-US"/>
              </w:rPr>
            </w:pPr>
            <w:r>
              <w:rPr>
                <w:rFonts w:asciiTheme="minorHAnsi" w:eastAsiaTheme="minorEastAsia" w:hAnsiTheme="minorHAnsi" w:cstheme="minorBidi"/>
                <w:sz w:val="22"/>
                <w:szCs w:val="22"/>
                <w:lang w:val="en-US"/>
              </w:rPr>
              <w:t xml:space="preserve">Registre national </w:t>
            </w:r>
            <w:proofErr w:type="spellStart"/>
            <w:r>
              <w:rPr>
                <w:rFonts w:asciiTheme="minorHAnsi" w:eastAsiaTheme="minorEastAsia" w:hAnsiTheme="minorHAnsi" w:cstheme="minorBidi"/>
                <w:sz w:val="22"/>
                <w:szCs w:val="22"/>
                <w:lang w:val="en-US"/>
              </w:rPr>
              <w:t>simplifié</w:t>
            </w:r>
            <w:proofErr w:type="spellEnd"/>
            <w:r>
              <w:rPr>
                <w:rFonts w:asciiTheme="minorHAnsi" w:eastAsiaTheme="minorEastAsia" w:hAnsiTheme="minorHAnsi" w:cstheme="minorBidi"/>
                <w:sz w:val="22"/>
                <w:szCs w:val="22"/>
                <w:lang w:val="en-US"/>
              </w:rPr>
              <w:t xml:space="preserve"> ITMO </w:t>
            </w:r>
            <w:proofErr w:type="spellStart"/>
            <w:r>
              <w:rPr>
                <w:rFonts w:asciiTheme="minorHAnsi" w:eastAsiaTheme="minorEastAsia" w:hAnsiTheme="minorHAnsi" w:cstheme="minorBidi"/>
                <w:sz w:val="22"/>
                <w:szCs w:val="22"/>
                <w:lang w:val="en-US"/>
              </w:rPr>
              <w:t>opérationnel</w:t>
            </w:r>
            <w:proofErr w:type="spellEnd"/>
            <w:r>
              <w:rPr>
                <w:rFonts w:asciiTheme="minorHAnsi" w:eastAsiaTheme="minorEastAsia" w:hAnsiTheme="minorHAnsi" w:cstheme="minorBidi"/>
                <w:sz w:val="22"/>
                <w:szCs w:val="22"/>
                <w:lang w:val="en-US"/>
              </w:rPr>
              <w:t xml:space="preserve"> (</w:t>
            </w:r>
            <w:proofErr w:type="spellStart"/>
            <w:r>
              <w:rPr>
                <w:rFonts w:asciiTheme="minorHAnsi" w:eastAsiaTheme="minorEastAsia" w:hAnsiTheme="minorHAnsi" w:cstheme="minorBidi"/>
                <w:sz w:val="22"/>
                <w:szCs w:val="22"/>
                <w:lang w:val="en-US"/>
              </w:rPr>
              <w:t>Airtable</w:t>
            </w:r>
            <w:proofErr w:type="spellEnd"/>
            <w:r>
              <w:rPr>
                <w:rFonts w:asciiTheme="minorHAnsi" w:eastAsiaTheme="minorEastAsia" w:hAnsiTheme="minorHAnsi" w:cstheme="minorBidi"/>
                <w:sz w:val="22"/>
                <w:szCs w:val="22"/>
                <w:lang w:val="en-US"/>
              </w:rPr>
              <w:t xml:space="preserve"> Proof of Concept)</w:t>
            </w:r>
          </w:p>
        </w:tc>
        <w:tc>
          <w:tcPr>
            <w:tcW w:w="1710" w:type="dxa"/>
          </w:tcPr>
          <w:p w14:paraId="796034F3"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401C82" w14:paraId="230E544E" w14:textId="77777777">
        <w:trPr>
          <w:trHeight w:val="300"/>
        </w:trPr>
        <w:tc>
          <w:tcPr>
            <w:tcW w:w="1845" w:type="dxa"/>
            <w:vMerge/>
          </w:tcPr>
          <w:p w14:paraId="6E93AF42" w14:textId="77777777" w:rsidR="00401C82" w:rsidRDefault="00401C82"/>
        </w:tc>
        <w:tc>
          <w:tcPr>
            <w:tcW w:w="1298" w:type="dxa"/>
          </w:tcPr>
          <w:p w14:paraId="32B76F63"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D2-5</w:t>
            </w:r>
          </w:p>
        </w:tc>
        <w:tc>
          <w:tcPr>
            <w:tcW w:w="4282" w:type="dxa"/>
          </w:tcPr>
          <w:p w14:paraId="4238FEE8"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Manuel utilisateur du registre et procédures d’exploitation</w:t>
            </w:r>
          </w:p>
        </w:tc>
        <w:tc>
          <w:tcPr>
            <w:tcW w:w="1710" w:type="dxa"/>
          </w:tcPr>
          <w:p w14:paraId="1F97F13C"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401C82" w14:paraId="74924431" w14:textId="77777777">
        <w:trPr>
          <w:trHeight w:val="300"/>
        </w:trPr>
        <w:tc>
          <w:tcPr>
            <w:tcW w:w="1845" w:type="dxa"/>
            <w:vMerge/>
          </w:tcPr>
          <w:p w14:paraId="77C4EF14" w14:textId="77777777" w:rsidR="00401C82" w:rsidRDefault="00401C82"/>
        </w:tc>
        <w:tc>
          <w:tcPr>
            <w:tcW w:w="1298" w:type="dxa"/>
          </w:tcPr>
          <w:p w14:paraId="5914BBB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D2-6</w:t>
            </w:r>
          </w:p>
        </w:tc>
        <w:tc>
          <w:tcPr>
            <w:tcW w:w="4282" w:type="dxa"/>
          </w:tcPr>
          <w:p w14:paraId="0B713EA9"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Rapport de test pilote du registre et de la procédure ITMO (projet mangroves)</w:t>
            </w:r>
          </w:p>
        </w:tc>
        <w:tc>
          <w:tcPr>
            <w:tcW w:w="1710" w:type="dxa"/>
          </w:tcPr>
          <w:p w14:paraId="127D8634"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401C82" w14:paraId="162F2C47" w14:textId="77777777">
        <w:trPr>
          <w:trHeight w:val="300"/>
        </w:trPr>
        <w:tc>
          <w:tcPr>
            <w:tcW w:w="1845" w:type="dxa"/>
            <w:vMerge/>
          </w:tcPr>
          <w:p w14:paraId="2A4EFAB2" w14:textId="77777777" w:rsidR="00401C82" w:rsidRDefault="00401C82"/>
        </w:tc>
        <w:tc>
          <w:tcPr>
            <w:tcW w:w="1298" w:type="dxa"/>
          </w:tcPr>
          <w:p w14:paraId="32F451E9"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D2-7</w:t>
            </w:r>
          </w:p>
        </w:tc>
        <w:tc>
          <w:tcPr>
            <w:tcW w:w="4282" w:type="dxa"/>
          </w:tcPr>
          <w:p w14:paraId="61F729EA"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Kit de déploiement et supports de formation (SOP, guides, supports pédagogiques)</w:t>
            </w:r>
          </w:p>
        </w:tc>
        <w:tc>
          <w:tcPr>
            <w:tcW w:w="1710" w:type="dxa"/>
          </w:tcPr>
          <w:p w14:paraId="620FE0C7"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401C82" w14:paraId="284D54FC" w14:textId="77777777">
        <w:trPr>
          <w:trHeight w:val="300"/>
        </w:trPr>
        <w:tc>
          <w:tcPr>
            <w:tcW w:w="1845" w:type="dxa"/>
            <w:vMerge w:val="restart"/>
            <w:vAlign w:val="center"/>
          </w:tcPr>
          <w:p w14:paraId="2AC26E8B" w14:textId="77777777" w:rsidR="00401C82" w:rsidRDefault="0000000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 xml:space="preserve">Phase III – Action </w:t>
            </w:r>
            <w:proofErr w:type="gramStart"/>
            <w:r>
              <w:rPr>
                <w:rFonts w:asciiTheme="minorHAnsi" w:eastAsiaTheme="minorEastAsia" w:hAnsiTheme="minorHAnsi" w:cstheme="minorBidi"/>
                <w:b/>
                <w:bCs/>
                <w:sz w:val="22"/>
                <w:szCs w:val="22"/>
              </w:rPr>
              <w:t>3:</w:t>
            </w:r>
            <w:proofErr w:type="gramEnd"/>
            <w:r>
              <w:rPr>
                <w:rFonts w:asciiTheme="minorHAnsi" w:eastAsiaTheme="minorEastAsia" w:hAnsiTheme="minorHAnsi" w:cstheme="minorBidi"/>
                <w:b/>
                <w:bCs/>
                <w:sz w:val="22"/>
                <w:szCs w:val="22"/>
              </w:rPr>
              <w:t xml:space="preserve"> Modèle de financement hybride</w:t>
            </w:r>
          </w:p>
        </w:tc>
        <w:tc>
          <w:tcPr>
            <w:tcW w:w="1298" w:type="dxa"/>
          </w:tcPr>
          <w:p w14:paraId="0017A0AB"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D3-0</w:t>
            </w:r>
          </w:p>
        </w:tc>
        <w:tc>
          <w:tcPr>
            <w:tcW w:w="4282" w:type="dxa"/>
          </w:tcPr>
          <w:p w14:paraId="257B6F41"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d’hypothèses financières et architecture du modèle hybride (VCM / Article 6 / PSE)</w:t>
            </w:r>
          </w:p>
        </w:tc>
        <w:tc>
          <w:tcPr>
            <w:tcW w:w="1710" w:type="dxa"/>
          </w:tcPr>
          <w:p w14:paraId="0B67CDC2"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+ 3 mois</w:t>
            </w:r>
          </w:p>
        </w:tc>
      </w:tr>
      <w:tr w:rsidR="00401C82" w14:paraId="4A634363" w14:textId="77777777">
        <w:trPr>
          <w:trHeight w:val="300"/>
        </w:trPr>
        <w:tc>
          <w:tcPr>
            <w:tcW w:w="1845" w:type="dxa"/>
            <w:vMerge/>
          </w:tcPr>
          <w:p w14:paraId="39C2024B" w14:textId="77777777" w:rsidR="00401C82" w:rsidRDefault="00401C82"/>
        </w:tc>
        <w:tc>
          <w:tcPr>
            <w:tcW w:w="1298" w:type="dxa"/>
          </w:tcPr>
          <w:p w14:paraId="62DEBA4E"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D3-1</w:t>
            </w:r>
          </w:p>
        </w:tc>
        <w:tc>
          <w:tcPr>
            <w:tcW w:w="4282" w:type="dxa"/>
          </w:tcPr>
          <w:p w14:paraId="159E31FB"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Modèle financier auditable multi-scénarios (CAPEX, OPEX, NPV, IRR, sensibilités)</w:t>
            </w:r>
          </w:p>
        </w:tc>
        <w:tc>
          <w:tcPr>
            <w:tcW w:w="1710" w:type="dxa"/>
          </w:tcPr>
          <w:p w14:paraId="70F03662"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+ 6 mois</w:t>
            </w:r>
          </w:p>
        </w:tc>
      </w:tr>
      <w:tr w:rsidR="00401C82" w14:paraId="08EBF0B9" w14:textId="77777777">
        <w:trPr>
          <w:trHeight w:val="300"/>
        </w:trPr>
        <w:tc>
          <w:tcPr>
            <w:tcW w:w="1845" w:type="dxa"/>
            <w:vMerge/>
          </w:tcPr>
          <w:p w14:paraId="5D1D1B7C" w14:textId="77777777" w:rsidR="00401C82" w:rsidRDefault="00401C82"/>
        </w:tc>
        <w:tc>
          <w:tcPr>
            <w:tcW w:w="1298" w:type="dxa"/>
          </w:tcPr>
          <w:p w14:paraId="40B43AD0"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D3-2</w:t>
            </w:r>
          </w:p>
        </w:tc>
        <w:tc>
          <w:tcPr>
            <w:tcW w:w="4282" w:type="dxa"/>
          </w:tcPr>
          <w:p w14:paraId="5D412470" w14:textId="77777777" w:rsidR="00401C82" w:rsidRDefault="00000000">
            <w:pPr>
              <w:rPr>
                <w:rFonts w:asciiTheme="minorHAnsi" w:eastAsiaTheme="minorEastAsia" w:hAnsiTheme="minorHAnsi" w:cstheme="minorBidi"/>
                <w:sz w:val="22"/>
                <w:szCs w:val="22"/>
              </w:rPr>
            </w:pPr>
            <w:proofErr w:type="spellStart"/>
            <w:r>
              <w:rPr>
                <w:rFonts w:asciiTheme="minorHAnsi" w:eastAsiaTheme="minorEastAsia" w:hAnsiTheme="minorHAnsi" w:cstheme="minorBidi"/>
                <w:sz w:val="22"/>
                <w:szCs w:val="22"/>
              </w:rPr>
              <w:t>Term-sheet</w:t>
            </w:r>
            <w:proofErr w:type="spellEnd"/>
            <w:r>
              <w:rPr>
                <w:rFonts w:asciiTheme="minorHAnsi" w:eastAsiaTheme="minorEastAsia" w:hAnsiTheme="minorHAnsi" w:cstheme="minorBidi"/>
                <w:sz w:val="22"/>
                <w:szCs w:val="22"/>
              </w:rPr>
              <w:t xml:space="preserve"> préliminaire de type ERPA</w:t>
            </w:r>
          </w:p>
        </w:tc>
        <w:tc>
          <w:tcPr>
            <w:tcW w:w="1710" w:type="dxa"/>
          </w:tcPr>
          <w:p w14:paraId="271FC597"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401C82" w14:paraId="4DA76A79" w14:textId="77777777">
        <w:trPr>
          <w:trHeight w:val="300"/>
        </w:trPr>
        <w:tc>
          <w:tcPr>
            <w:tcW w:w="1845" w:type="dxa"/>
            <w:vMerge/>
          </w:tcPr>
          <w:p w14:paraId="5E7EABE4" w14:textId="77777777" w:rsidR="00401C82" w:rsidRDefault="00401C82"/>
        </w:tc>
        <w:tc>
          <w:tcPr>
            <w:tcW w:w="1298" w:type="dxa"/>
          </w:tcPr>
          <w:p w14:paraId="3C953CFE"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D3-3</w:t>
            </w:r>
          </w:p>
        </w:tc>
        <w:tc>
          <w:tcPr>
            <w:tcW w:w="4282" w:type="dxa"/>
          </w:tcPr>
          <w:p w14:paraId="4451BD15"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Plan de capitalisation renforcé du Fonds Haïtien pour la Biodiversité (FHB)</w:t>
            </w:r>
          </w:p>
        </w:tc>
        <w:tc>
          <w:tcPr>
            <w:tcW w:w="1710" w:type="dxa"/>
          </w:tcPr>
          <w:p w14:paraId="0ECF9C2F"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401C82" w14:paraId="2408E2A3" w14:textId="77777777">
        <w:trPr>
          <w:trHeight w:val="300"/>
        </w:trPr>
        <w:tc>
          <w:tcPr>
            <w:tcW w:w="1845" w:type="dxa"/>
            <w:vMerge/>
          </w:tcPr>
          <w:p w14:paraId="2AAC9507" w14:textId="77777777" w:rsidR="00401C82" w:rsidRDefault="00401C82"/>
        </w:tc>
        <w:tc>
          <w:tcPr>
            <w:tcW w:w="1298" w:type="dxa"/>
          </w:tcPr>
          <w:p w14:paraId="39DDE4B1"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D3-4</w:t>
            </w:r>
          </w:p>
        </w:tc>
        <w:tc>
          <w:tcPr>
            <w:tcW w:w="4282" w:type="dxa"/>
          </w:tcPr>
          <w:p w14:paraId="109B2828"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Supports investisseurs (teaser, note d’investissement) et compte rendu du « pitch investisseurs »</w:t>
            </w:r>
          </w:p>
        </w:tc>
        <w:tc>
          <w:tcPr>
            <w:tcW w:w="1710" w:type="dxa"/>
          </w:tcPr>
          <w:p w14:paraId="2B602F72" w14:textId="77777777" w:rsidR="00401C82" w:rsidRDefault="0000000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bl>
    <w:p w14:paraId="03EB3FDD" w14:textId="77777777" w:rsidR="00401C82" w:rsidRDefault="00401C82">
      <w:pPr>
        <w:rPr>
          <w:rFonts w:asciiTheme="minorHAnsi" w:eastAsia="Arial Unicode MS" w:hAnsiTheme="minorHAnsi" w:cstheme="minorBidi"/>
          <w:b/>
          <w:bCs/>
          <w:sz w:val="22"/>
          <w:szCs w:val="22"/>
          <w:lang w:eastAsia="en-US"/>
        </w:rPr>
      </w:pPr>
    </w:p>
    <w:p w14:paraId="72FDC10C" w14:textId="77777777" w:rsidR="00401C82" w:rsidRDefault="00000000">
      <w:pPr>
        <w:spacing w:line="259" w:lineRule="auto"/>
        <w:jc w:val="both"/>
        <w:rPr>
          <w:rFonts w:ascii="Calibri" w:eastAsia="Calibri" w:hAnsi="Calibri" w:cs="Calibri"/>
          <w:sz w:val="22"/>
          <w:szCs w:val="22"/>
        </w:rPr>
      </w:pPr>
      <w:r>
        <w:rPr>
          <w:rFonts w:ascii="Calibri" w:eastAsia="Calibri" w:hAnsi="Calibri" w:cs="Calibri"/>
          <w:sz w:val="22"/>
          <w:szCs w:val="22"/>
        </w:rPr>
        <w:t xml:space="preserve">L’approbation de chaque livrable sera formalisée et </w:t>
      </w:r>
      <w:r>
        <w:rPr>
          <w:rFonts w:asciiTheme="minorHAnsi" w:eastAsia="Arial Unicode MS" w:hAnsiTheme="minorHAnsi" w:cstheme="minorBidi"/>
          <w:sz w:val="22"/>
          <w:szCs w:val="22"/>
          <w:lang w:eastAsia="en-US"/>
        </w:rPr>
        <w:t xml:space="preserve">validée </w:t>
      </w:r>
      <w:r>
        <w:rPr>
          <w:rFonts w:ascii="Calibri" w:eastAsia="Calibri" w:hAnsi="Calibri" w:cs="Calibri"/>
          <w:sz w:val="22"/>
          <w:szCs w:val="22"/>
        </w:rPr>
        <w:t>par écrit par Expertise France, avec l’appui du Comité technique mis en place pour le suivi de cette assistance Technique.</w:t>
      </w:r>
    </w:p>
    <w:p w14:paraId="0BE3D94E" w14:textId="77777777" w:rsidR="00401C82" w:rsidRDefault="00401C82">
      <w:pPr>
        <w:spacing w:line="259" w:lineRule="auto"/>
        <w:jc w:val="both"/>
        <w:rPr>
          <w:rFonts w:ascii="Calibri" w:eastAsia="Calibri" w:hAnsi="Calibri" w:cs="Calibri"/>
          <w:sz w:val="22"/>
          <w:szCs w:val="22"/>
        </w:rPr>
      </w:pPr>
    </w:p>
    <w:p w14:paraId="3F144733" w14:textId="77777777" w:rsidR="00401C82" w:rsidRDefault="00000000">
      <w:pPr>
        <w:spacing w:line="259" w:lineRule="auto"/>
        <w:jc w:val="both"/>
        <w:rPr>
          <w:rFonts w:ascii="Calibri" w:eastAsia="Calibri" w:hAnsi="Calibri" w:cs="Calibri"/>
          <w:sz w:val="22"/>
          <w:szCs w:val="22"/>
        </w:rPr>
      </w:pPr>
      <w:r>
        <w:rPr>
          <w:rFonts w:ascii="Calibri" w:eastAsia="Calibri" w:hAnsi="Calibri" w:cs="Calibri"/>
          <w:sz w:val="22"/>
          <w:szCs w:val="22"/>
        </w:rPr>
        <w:t>Le prestataire devra inclure dans sa proposition un calendrier de travail détaillé par mois/semaines (</w:t>
      </w:r>
      <w:proofErr w:type="spellStart"/>
      <w:r>
        <w:rPr>
          <w:rFonts w:ascii="Calibri" w:eastAsia="Calibri" w:hAnsi="Calibri" w:cs="Calibri"/>
          <w:sz w:val="22"/>
          <w:szCs w:val="22"/>
        </w:rPr>
        <w:t>workplan</w:t>
      </w:r>
      <w:proofErr w:type="spellEnd"/>
      <w:proofErr w:type="gramStart"/>
      <w:r>
        <w:rPr>
          <w:rFonts w:ascii="Calibri" w:eastAsia="Calibri" w:hAnsi="Calibri" w:cs="Calibri"/>
          <w:sz w:val="22"/>
          <w:szCs w:val="22"/>
        </w:rPr>
        <w:t>):</w:t>
      </w:r>
      <w:proofErr w:type="gramEnd"/>
      <w:r>
        <w:rPr>
          <w:rFonts w:ascii="Calibri" w:eastAsia="Calibri" w:hAnsi="Calibri" w:cs="Calibri"/>
          <w:sz w:val="22"/>
          <w:szCs w:val="22"/>
        </w:rPr>
        <w:t xml:space="preserve"> toute optimisation des délais permettant la remise des rapports attendus sera appréciée.</w:t>
      </w:r>
    </w:p>
    <w:p w14:paraId="07FC3C68" w14:textId="77777777" w:rsidR="00401C82" w:rsidRDefault="00401C82">
      <w:pPr>
        <w:spacing w:line="259" w:lineRule="auto"/>
        <w:jc w:val="both"/>
        <w:rPr>
          <w:rFonts w:ascii="Calibri" w:eastAsia="Calibri" w:hAnsi="Calibri" w:cs="Calibri"/>
          <w:sz w:val="22"/>
          <w:szCs w:val="22"/>
        </w:rPr>
      </w:pPr>
    </w:p>
    <w:p w14:paraId="72A62331" w14:textId="77777777" w:rsidR="00401C82" w:rsidRDefault="00000000">
      <w:pPr>
        <w:spacing w:line="259" w:lineRule="auto"/>
        <w:jc w:val="both"/>
        <w:rPr>
          <w:rFonts w:ascii="Calibri" w:eastAsia="Calibri" w:hAnsi="Calibri" w:cs="Calibri"/>
          <w:sz w:val="22"/>
          <w:szCs w:val="22"/>
        </w:rPr>
      </w:pPr>
      <w:r>
        <w:rPr>
          <w:rFonts w:ascii="Calibri" w:eastAsia="Calibri" w:hAnsi="Calibri" w:cs="Calibri"/>
          <w:sz w:val="22"/>
          <w:szCs w:val="22"/>
        </w:rPr>
        <w:t>Les livrables et les informations d’appui (par exemple : questionnaires, enquêtes) devront être soumis en format numérique et séparément, à la date de remise convenue. Le prestataire fournira l’ensemble des produits conformément au calendrier convenu.</w:t>
      </w:r>
    </w:p>
    <w:p w14:paraId="6AA0FE97" w14:textId="77777777" w:rsidR="00401C82" w:rsidRDefault="00401C82">
      <w:pPr>
        <w:spacing w:line="259" w:lineRule="auto"/>
        <w:jc w:val="both"/>
        <w:rPr>
          <w:rFonts w:ascii="Calibri" w:eastAsia="Calibri" w:hAnsi="Calibri" w:cs="Calibri"/>
          <w:sz w:val="22"/>
          <w:szCs w:val="22"/>
        </w:rPr>
      </w:pPr>
    </w:p>
    <w:p w14:paraId="3D53E75C" w14:textId="77777777" w:rsidR="00401C82" w:rsidRDefault="00000000">
      <w:pPr>
        <w:spacing w:line="259" w:lineRule="auto"/>
        <w:jc w:val="both"/>
        <w:rPr>
          <w:rFonts w:ascii="Calibri" w:eastAsia="Calibri" w:hAnsi="Calibri" w:cs="Calibri"/>
          <w:sz w:val="22"/>
          <w:szCs w:val="22"/>
        </w:rPr>
      </w:pPr>
      <w:r>
        <w:rPr>
          <w:rFonts w:ascii="Calibri" w:eastAsia="Calibri" w:hAnsi="Calibri" w:cs="Calibri"/>
          <w:sz w:val="22"/>
          <w:szCs w:val="22"/>
        </w:rPr>
        <w:t xml:space="preserve"> À noter :</w:t>
      </w:r>
    </w:p>
    <w:p w14:paraId="56DF7B9A" w14:textId="77777777" w:rsidR="00401C82" w:rsidRDefault="00000000">
      <w:pPr>
        <w:pStyle w:val="Paragraphedeliste"/>
        <w:numPr>
          <w:ilvl w:val="0"/>
          <w:numId w:val="17"/>
        </w:numPr>
        <w:spacing w:line="259" w:lineRule="auto"/>
        <w:jc w:val="both"/>
        <w:rPr>
          <w:rFonts w:ascii="Calibri" w:eastAsia="Calibri" w:hAnsi="Calibri" w:cs="Calibri"/>
          <w:sz w:val="22"/>
          <w:szCs w:val="22"/>
        </w:rPr>
      </w:pPr>
      <w:r>
        <w:rPr>
          <w:rFonts w:ascii="Calibri" w:eastAsia="Calibri" w:hAnsi="Calibri" w:cs="Calibri"/>
          <w:sz w:val="22"/>
          <w:szCs w:val="22"/>
        </w:rPr>
        <w:t xml:space="preserve">Le prestataire ne peut présumer de la validation des produits : celle-ci est obligatoirement effectuée par une approbation écrite (courriel) du responsable du projet </w:t>
      </w:r>
      <w:proofErr w:type="spellStart"/>
      <w:r>
        <w:rPr>
          <w:rFonts w:ascii="Calibri" w:eastAsia="Calibri" w:hAnsi="Calibri" w:cs="Calibri"/>
          <w:sz w:val="22"/>
          <w:szCs w:val="22"/>
        </w:rPr>
        <w:t>Euroclima</w:t>
      </w:r>
      <w:proofErr w:type="spellEnd"/>
      <w:r>
        <w:rPr>
          <w:rFonts w:ascii="Calibri" w:eastAsia="Calibri" w:hAnsi="Calibri" w:cs="Calibri"/>
          <w:sz w:val="22"/>
          <w:szCs w:val="22"/>
        </w:rPr>
        <w:t xml:space="preserve"> lorsque chaque livrable est jugé satisfaisant.</w:t>
      </w:r>
    </w:p>
    <w:p w14:paraId="5695B236" w14:textId="77777777" w:rsidR="00401C82" w:rsidRDefault="00000000">
      <w:pPr>
        <w:pStyle w:val="Paragraphedeliste"/>
        <w:numPr>
          <w:ilvl w:val="0"/>
          <w:numId w:val="17"/>
        </w:numPr>
        <w:spacing w:line="259" w:lineRule="auto"/>
        <w:jc w:val="both"/>
        <w:rPr>
          <w:rFonts w:ascii="Calibri" w:eastAsia="Calibri" w:hAnsi="Calibri" w:cs="Calibri"/>
          <w:sz w:val="22"/>
          <w:szCs w:val="22"/>
        </w:rPr>
      </w:pPr>
      <w:r>
        <w:rPr>
          <w:rFonts w:ascii="Calibri" w:eastAsia="Calibri" w:hAnsi="Calibri" w:cs="Calibri"/>
          <w:sz w:val="22"/>
          <w:szCs w:val="22"/>
        </w:rPr>
        <w:t xml:space="preserve">L’équipe </w:t>
      </w:r>
      <w:proofErr w:type="spellStart"/>
      <w:r>
        <w:rPr>
          <w:rFonts w:ascii="Calibri" w:eastAsia="Calibri" w:hAnsi="Calibri" w:cs="Calibri"/>
          <w:sz w:val="22"/>
          <w:szCs w:val="22"/>
        </w:rPr>
        <w:t>Euroclima</w:t>
      </w:r>
      <w:proofErr w:type="spellEnd"/>
      <w:r>
        <w:rPr>
          <w:rFonts w:ascii="Calibri" w:eastAsia="Calibri" w:hAnsi="Calibri" w:cs="Calibri"/>
          <w:sz w:val="22"/>
          <w:szCs w:val="22"/>
        </w:rPr>
        <w:t xml:space="preserve">, en concertation avec le comité technique et points focaux nationaux, ainsi que le prestataire, mettront tout en œuvre afin que les résultats soient validés dans </w:t>
      </w:r>
      <w:proofErr w:type="gramStart"/>
      <w:r>
        <w:rPr>
          <w:rFonts w:ascii="Calibri" w:eastAsia="Calibri" w:hAnsi="Calibri" w:cs="Calibri"/>
          <w:sz w:val="22"/>
          <w:szCs w:val="22"/>
        </w:rPr>
        <w:t>un délais</w:t>
      </w:r>
      <w:proofErr w:type="gramEnd"/>
      <w:r>
        <w:rPr>
          <w:rFonts w:ascii="Calibri" w:eastAsia="Calibri" w:hAnsi="Calibri" w:cs="Calibri"/>
          <w:sz w:val="22"/>
          <w:szCs w:val="22"/>
        </w:rPr>
        <w:t xml:space="preserve"> de deux à trois semaines suivant la réception.</w:t>
      </w:r>
    </w:p>
    <w:p w14:paraId="47E2B7B4" w14:textId="77777777" w:rsidR="00401C82" w:rsidRDefault="00401C82">
      <w:pPr>
        <w:spacing w:line="259" w:lineRule="auto"/>
        <w:rPr>
          <w:rFonts w:ascii="Calibri" w:eastAsia="Calibri" w:hAnsi="Calibri" w:cs="Calibri"/>
          <w:sz w:val="22"/>
          <w:szCs w:val="22"/>
        </w:rPr>
      </w:pPr>
    </w:p>
    <w:p w14:paraId="5FAE586B" w14:textId="77777777" w:rsidR="00401C82" w:rsidRDefault="00000000">
      <w:pPr>
        <w:numPr>
          <w:ilvl w:val="1"/>
          <w:numId w:val="31"/>
        </w:numPr>
        <w:tabs>
          <w:tab w:val="clear" w:pos="1440"/>
          <w:tab w:val="num" w:pos="900"/>
        </w:tabs>
        <w:ind w:left="900"/>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Coordination et contacts</w:t>
      </w:r>
    </w:p>
    <w:p w14:paraId="3E82ED84" w14:textId="77777777" w:rsidR="00401C82" w:rsidRDefault="00401C82">
      <w:pPr>
        <w:rPr>
          <w:rFonts w:asciiTheme="minorHAnsi" w:hAnsiTheme="minorHAnsi" w:cstheme="minorHAnsi"/>
          <w:sz w:val="22"/>
          <w:szCs w:val="22"/>
          <w:highlight w:val="cyan"/>
        </w:rPr>
      </w:pPr>
    </w:p>
    <w:p w14:paraId="3FDEC954" w14:textId="77777777" w:rsidR="00401C82" w:rsidRDefault="00000000">
      <w:pPr>
        <w:spacing w:after="240"/>
        <w:rPr>
          <w:rFonts w:asciiTheme="minorHAnsi" w:hAnsiTheme="minorHAnsi" w:cstheme="minorBidi"/>
          <w:sz w:val="22"/>
          <w:szCs w:val="22"/>
        </w:rPr>
      </w:pPr>
      <w:r>
        <w:rPr>
          <w:rFonts w:asciiTheme="minorHAnsi" w:hAnsiTheme="minorHAnsi" w:cstheme="minorBidi"/>
          <w:sz w:val="22"/>
          <w:szCs w:val="22"/>
        </w:rPr>
        <w:t>Le prestataire désignera un interlocuteur unique pour la mise en œuvre de projet.</w:t>
      </w:r>
      <w:r>
        <w:br/>
      </w:r>
    </w:p>
    <w:p w14:paraId="60DE7654" w14:textId="77777777" w:rsidR="00401C82" w:rsidRDefault="00000000">
      <w:pPr>
        <w:spacing w:after="240"/>
        <w:rPr>
          <w:rFonts w:ascii="Calibri" w:eastAsia="Calibri" w:hAnsi="Calibri" w:cs="Calibri"/>
          <w:sz w:val="22"/>
          <w:szCs w:val="22"/>
        </w:rPr>
      </w:pPr>
      <w:r>
        <w:rPr>
          <w:rFonts w:ascii="Calibri" w:eastAsia="Calibri" w:hAnsi="Calibri" w:cs="Calibri"/>
          <w:sz w:val="22"/>
          <w:szCs w:val="22"/>
        </w:rPr>
        <w:t xml:space="preserve"> La personne de contact d’Expertise France sera :</w:t>
      </w:r>
    </w:p>
    <w:p w14:paraId="516E540C" w14:textId="77777777" w:rsidR="00401C82" w:rsidRDefault="00000000">
      <w:pPr>
        <w:spacing w:before="240" w:after="240"/>
        <w:rPr>
          <w:rStyle w:val="Lienhypertexte"/>
          <w:rFonts w:ascii="Calibri" w:eastAsia="Calibri" w:hAnsi="Calibri" w:cs="Calibri"/>
          <w:sz w:val="22"/>
          <w:szCs w:val="22"/>
        </w:rPr>
      </w:pPr>
      <w:r>
        <w:rPr>
          <w:rFonts w:ascii="Calibri" w:eastAsia="Calibri" w:hAnsi="Calibri" w:cs="Calibri"/>
          <w:sz w:val="22"/>
          <w:szCs w:val="22"/>
        </w:rPr>
        <w:t xml:space="preserve">Orion VIENNE, chargé de projet </w:t>
      </w:r>
      <w:proofErr w:type="spellStart"/>
      <w:r>
        <w:rPr>
          <w:rFonts w:ascii="Calibri" w:eastAsia="Calibri" w:hAnsi="Calibri" w:cs="Calibri"/>
          <w:sz w:val="22"/>
          <w:szCs w:val="22"/>
        </w:rPr>
        <w:t>Euroclima</w:t>
      </w:r>
      <w:proofErr w:type="spellEnd"/>
      <w:r>
        <w:rPr>
          <w:rFonts w:ascii="Calibri" w:eastAsia="Calibri" w:hAnsi="Calibri" w:cs="Calibri"/>
          <w:sz w:val="22"/>
          <w:szCs w:val="22"/>
        </w:rPr>
        <w:t>, sera le principal point de contact pour le prestataire de services au sein d’Expertise France.</w:t>
      </w:r>
      <w:r>
        <w:br/>
      </w:r>
      <w:r>
        <w:rPr>
          <w:rFonts w:ascii="Calibri" w:eastAsia="Calibri" w:hAnsi="Calibri" w:cs="Calibri"/>
          <w:sz w:val="22"/>
          <w:szCs w:val="22"/>
        </w:rPr>
        <w:t xml:space="preserve"> Courriel : </w:t>
      </w:r>
      <w:hyperlink r:id="rId11" w:tooltip="mailto:orion.vienne@expertisefrance.fr" w:history="1">
        <w:r w:rsidR="00401C82">
          <w:rPr>
            <w:rStyle w:val="Lienhypertexte"/>
            <w:rFonts w:ascii="Calibri" w:eastAsia="Calibri" w:hAnsi="Calibri" w:cs="Calibri"/>
            <w:sz w:val="22"/>
            <w:szCs w:val="22"/>
          </w:rPr>
          <w:t>orion.vienne@expertisefrance.fr</w:t>
        </w:r>
      </w:hyperlink>
      <w:r>
        <w:br/>
      </w:r>
      <w:r>
        <w:rPr>
          <w:rFonts w:ascii="Calibri" w:eastAsia="Calibri" w:hAnsi="Calibri" w:cs="Calibri"/>
          <w:sz w:val="22"/>
          <w:szCs w:val="22"/>
        </w:rPr>
        <w:t xml:space="preserve"> Cc : Anne-Laure DUBILLY, Responsable de programme</w:t>
      </w:r>
      <w:r>
        <w:br/>
      </w:r>
      <w:r>
        <w:rPr>
          <w:rFonts w:ascii="Calibri" w:eastAsia="Calibri" w:hAnsi="Calibri" w:cs="Calibri"/>
          <w:sz w:val="22"/>
          <w:szCs w:val="22"/>
        </w:rPr>
        <w:t xml:space="preserve"> Courriel : </w:t>
      </w:r>
      <w:hyperlink r:id="rId12" w:tooltip="mailto:anne-laure.dubilly@expertisefrance.fr" w:history="1">
        <w:r w:rsidR="00401C82">
          <w:rPr>
            <w:rStyle w:val="Lienhypertexte"/>
            <w:rFonts w:ascii="Calibri" w:eastAsia="Calibri" w:hAnsi="Calibri" w:cs="Calibri"/>
            <w:sz w:val="22"/>
            <w:szCs w:val="22"/>
          </w:rPr>
          <w:t>anne-laure.dubilly@expertisefrance.fr</w:t>
        </w:r>
      </w:hyperlink>
    </w:p>
    <w:p w14:paraId="109B40E8" w14:textId="77777777" w:rsidR="00401C82" w:rsidRDefault="00000000">
      <w:pPr>
        <w:spacing w:before="240" w:after="240" w:line="259" w:lineRule="auto"/>
        <w:rPr>
          <w:rFonts w:ascii="Calibri" w:eastAsia="Calibri" w:hAnsi="Calibri" w:cs="Calibri"/>
          <w:sz w:val="22"/>
          <w:szCs w:val="22"/>
        </w:rPr>
      </w:pPr>
      <w:r>
        <w:rPr>
          <w:rFonts w:ascii="Calibri" w:eastAsia="Calibri" w:hAnsi="Calibri" w:cs="Calibri"/>
          <w:sz w:val="22"/>
          <w:szCs w:val="22"/>
        </w:rPr>
        <w:t>Les points focaux nationaux d’</w:t>
      </w:r>
      <w:proofErr w:type="spellStart"/>
      <w:r>
        <w:rPr>
          <w:rFonts w:ascii="Calibri" w:eastAsia="Calibri" w:hAnsi="Calibri" w:cs="Calibri"/>
          <w:sz w:val="22"/>
          <w:szCs w:val="22"/>
        </w:rPr>
        <w:t>Euroclima</w:t>
      </w:r>
      <w:proofErr w:type="spellEnd"/>
      <w:r>
        <w:rPr>
          <w:rFonts w:ascii="Calibri" w:eastAsia="Calibri" w:hAnsi="Calibri" w:cs="Calibri"/>
          <w:sz w:val="22"/>
          <w:szCs w:val="22"/>
        </w:rPr>
        <w:t xml:space="preserve"> recevront une copie des principaux courriels de coordination et seront informés par le prestataire de l’avancement des travaux et des difficultés rencontrées, le cas échéant.</w:t>
      </w:r>
    </w:p>
    <w:p w14:paraId="2F15B104" w14:textId="77777777" w:rsidR="00401C82" w:rsidRDefault="00000000">
      <w:pPr>
        <w:spacing w:before="240" w:after="240" w:line="259" w:lineRule="auto"/>
        <w:rPr>
          <w:rFonts w:ascii="Calibri" w:eastAsia="Calibri" w:hAnsi="Calibri" w:cs="Calibri"/>
          <w:sz w:val="22"/>
          <w:szCs w:val="22"/>
        </w:rPr>
      </w:pPr>
      <w:r>
        <w:rPr>
          <w:rFonts w:ascii="Calibri" w:eastAsia="Calibri" w:hAnsi="Calibri" w:cs="Calibri"/>
          <w:sz w:val="22"/>
          <w:szCs w:val="22"/>
        </w:rPr>
        <w:t xml:space="preserve">La personne de contact, à titre indicatif, pour le </w:t>
      </w:r>
      <w:proofErr w:type="gramStart"/>
      <w:r>
        <w:rPr>
          <w:rFonts w:ascii="Calibri" w:eastAsia="Calibri" w:hAnsi="Calibri" w:cs="Calibri"/>
          <w:sz w:val="22"/>
          <w:szCs w:val="22"/>
        </w:rPr>
        <w:t>Ministère de l’Environnement</w:t>
      </w:r>
      <w:proofErr w:type="gramEnd"/>
      <w:r>
        <w:rPr>
          <w:rFonts w:ascii="Calibri" w:eastAsia="Calibri" w:hAnsi="Calibri" w:cs="Calibri"/>
          <w:sz w:val="22"/>
          <w:szCs w:val="22"/>
        </w:rPr>
        <w:t xml:space="preserve"> est :</w:t>
      </w:r>
    </w:p>
    <w:p w14:paraId="6E34AAC9" w14:textId="77777777" w:rsidR="00401C82" w:rsidRDefault="00000000">
      <w:pPr>
        <w:rPr>
          <w:rFonts w:ascii="Calibri" w:hAnsi="Calibri" w:cs="Calibri"/>
          <w:sz w:val="22"/>
          <w:szCs w:val="22"/>
        </w:rPr>
      </w:pPr>
      <w:r>
        <w:rPr>
          <w:rFonts w:ascii="Calibri" w:hAnsi="Calibri" w:cs="Calibri"/>
          <w:sz w:val="22"/>
          <w:szCs w:val="22"/>
        </w:rPr>
        <w:t>Gerty PIERRE, Spécialiste en santé environnementale &amp; Directrice du changement climatique (DCC)</w:t>
      </w:r>
    </w:p>
    <w:p w14:paraId="7588D408" w14:textId="77777777" w:rsidR="00401C82" w:rsidRDefault="00000000">
      <w:pPr>
        <w:rPr>
          <w:rFonts w:ascii="Calibri" w:hAnsi="Calibri" w:cs="Calibri"/>
          <w:sz w:val="22"/>
          <w:szCs w:val="22"/>
        </w:rPr>
      </w:pPr>
      <w:proofErr w:type="gramStart"/>
      <w:r>
        <w:rPr>
          <w:rFonts w:ascii="Calibri" w:hAnsi="Calibri" w:cs="Calibri"/>
          <w:sz w:val="22"/>
          <w:szCs w:val="22"/>
        </w:rPr>
        <w:t>Courriel:</w:t>
      </w:r>
      <w:proofErr w:type="gramEnd"/>
      <w:r>
        <w:rPr>
          <w:rFonts w:ascii="Calibri" w:hAnsi="Calibri" w:cs="Calibri"/>
          <w:sz w:val="22"/>
          <w:szCs w:val="22"/>
        </w:rPr>
        <w:t xml:space="preserve"> </w:t>
      </w:r>
      <w:hyperlink r:id="rId13" w:tooltip="mailto:gertypierre8007@gmail.com" w:history="1">
        <w:r w:rsidR="00401C82">
          <w:rPr>
            <w:rStyle w:val="Lienhypertexte"/>
            <w:rFonts w:ascii="Calibri" w:hAnsi="Calibri" w:cs="Calibri"/>
            <w:sz w:val="22"/>
            <w:szCs w:val="22"/>
          </w:rPr>
          <w:t>gertypierre8007@gmail.com</w:t>
        </w:r>
      </w:hyperlink>
    </w:p>
    <w:p w14:paraId="1D3B3038" w14:textId="77777777" w:rsidR="00401C82" w:rsidRDefault="00000000">
      <w:pPr>
        <w:spacing w:before="240" w:after="240" w:line="259" w:lineRule="auto"/>
        <w:rPr>
          <w:rFonts w:ascii="Calibri" w:eastAsia="Calibri" w:hAnsi="Calibri" w:cs="Calibri"/>
          <w:sz w:val="22"/>
          <w:szCs w:val="22"/>
        </w:rPr>
      </w:pPr>
      <w:r>
        <w:rPr>
          <w:rFonts w:ascii="Calibri" w:eastAsia="Calibri" w:hAnsi="Calibri" w:cs="Calibri"/>
          <w:sz w:val="22"/>
          <w:szCs w:val="22"/>
        </w:rPr>
        <w:t xml:space="preserve">La personne de contact, à titre indicatif, pour le </w:t>
      </w:r>
      <w:r>
        <w:rPr>
          <w:rFonts w:asciiTheme="minorHAnsi" w:hAnsiTheme="minorHAnsi" w:cstheme="minorBidi"/>
          <w:sz w:val="22"/>
          <w:szCs w:val="22"/>
        </w:rPr>
        <w:t>Bureau de l’Ordonnateur National (BON)</w:t>
      </w:r>
      <w:r>
        <w:rPr>
          <w:rFonts w:ascii="Calibri" w:eastAsia="Calibri" w:hAnsi="Calibri" w:cs="Calibri"/>
          <w:sz w:val="22"/>
          <w:szCs w:val="22"/>
        </w:rPr>
        <w:t xml:space="preserve"> est :</w:t>
      </w:r>
    </w:p>
    <w:p w14:paraId="02B58AD2" w14:textId="77777777" w:rsidR="00401C82" w:rsidRDefault="00000000">
      <w:pPr>
        <w:rPr>
          <w:rFonts w:asciiTheme="minorHAnsi" w:hAnsiTheme="minorHAnsi" w:cstheme="minorBidi"/>
          <w:sz w:val="22"/>
          <w:szCs w:val="22"/>
        </w:rPr>
      </w:pPr>
      <w:r>
        <w:rPr>
          <w:rFonts w:asciiTheme="minorHAnsi" w:hAnsiTheme="minorHAnsi" w:cstheme="minorBidi"/>
          <w:sz w:val="22"/>
          <w:szCs w:val="22"/>
        </w:rPr>
        <w:t>Hervé PHILIPPE, Conseiller Technique Développement Rural, Coopération Régionale, Commerce, Sécurité Alimentaire et Nutritionnelle Environnement</w:t>
      </w:r>
    </w:p>
    <w:p w14:paraId="099B4FCB" w14:textId="77777777" w:rsidR="00401C82" w:rsidRDefault="00000000">
      <w:pPr>
        <w:rPr>
          <w:rFonts w:asciiTheme="minorHAnsi" w:hAnsiTheme="minorHAnsi" w:cstheme="minorBidi"/>
          <w:sz w:val="22"/>
          <w:szCs w:val="22"/>
        </w:rPr>
      </w:pPr>
      <w:proofErr w:type="gramStart"/>
      <w:r>
        <w:rPr>
          <w:rFonts w:asciiTheme="minorHAnsi" w:hAnsiTheme="minorHAnsi" w:cstheme="minorBidi"/>
          <w:sz w:val="22"/>
          <w:szCs w:val="22"/>
        </w:rPr>
        <w:t>Courriel:</w:t>
      </w:r>
      <w:proofErr w:type="gramEnd"/>
      <w:r>
        <w:rPr>
          <w:rFonts w:asciiTheme="minorHAnsi" w:hAnsiTheme="minorHAnsi" w:cstheme="minorBidi"/>
          <w:sz w:val="22"/>
          <w:szCs w:val="22"/>
        </w:rPr>
        <w:t xml:space="preserve">  </w:t>
      </w:r>
      <w:hyperlink r:id="rId14" w:tooltip="mailto:%3cherve.philippe@bonfed.gouv.ht" w:history="1">
        <w:r w:rsidR="00401C82">
          <w:rPr>
            <w:rStyle w:val="Lienhypertexte"/>
            <w:rFonts w:asciiTheme="minorHAnsi" w:hAnsiTheme="minorHAnsi" w:cstheme="minorBidi"/>
            <w:sz w:val="22"/>
            <w:szCs w:val="22"/>
          </w:rPr>
          <w:t>herve.philippe@bonfed.gouv.ht</w:t>
        </w:r>
      </w:hyperlink>
      <w:r>
        <w:rPr>
          <w:rFonts w:asciiTheme="minorHAnsi" w:hAnsiTheme="minorHAnsi" w:cstheme="minorBidi"/>
          <w:sz w:val="22"/>
          <w:szCs w:val="22"/>
        </w:rPr>
        <w:t xml:space="preserve"> </w:t>
      </w:r>
    </w:p>
    <w:p w14:paraId="2650C663" w14:textId="77777777" w:rsidR="00401C82" w:rsidRDefault="00401C82">
      <w:pPr>
        <w:rPr>
          <w:rFonts w:asciiTheme="minorHAnsi" w:hAnsiTheme="minorHAnsi" w:cstheme="minorBidi"/>
          <w:sz w:val="22"/>
          <w:szCs w:val="22"/>
        </w:rPr>
      </w:pPr>
    </w:p>
    <w:p w14:paraId="03D791CF" w14:textId="77777777" w:rsidR="00401C82" w:rsidRDefault="00000000">
      <w:pPr>
        <w:jc w:val="both"/>
        <w:rPr>
          <w:rFonts w:asciiTheme="minorHAnsi" w:hAnsiTheme="minorHAnsi" w:cstheme="minorBidi"/>
          <w:sz w:val="22"/>
          <w:szCs w:val="22"/>
        </w:rPr>
      </w:pPr>
      <w:r>
        <w:rPr>
          <w:rFonts w:asciiTheme="minorHAnsi" w:hAnsiTheme="minorHAnsi" w:cstheme="minorBidi"/>
          <w:sz w:val="22"/>
          <w:szCs w:val="22"/>
        </w:rPr>
        <w:t xml:space="preserve">Après une réunion de lancement contractuelle entre Expertise France et le Consultant, une réunion de lancement officielle (Kick </w:t>
      </w:r>
      <w:proofErr w:type="gramStart"/>
      <w:r>
        <w:rPr>
          <w:rFonts w:asciiTheme="minorHAnsi" w:hAnsiTheme="minorHAnsi" w:cstheme="minorBidi"/>
          <w:sz w:val="22"/>
          <w:szCs w:val="22"/>
        </w:rPr>
        <w:t>Off Meeting</w:t>
      </w:r>
      <w:proofErr w:type="gramEnd"/>
      <w:r>
        <w:rPr>
          <w:rFonts w:asciiTheme="minorHAnsi" w:hAnsiTheme="minorHAnsi" w:cstheme="minorBidi"/>
          <w:sz w:val="22"/>
          <w:szCs w:val="22"/>
        </w:rPr>
        <w:t xml:space="preserve"> - T0) se tiendra au plus tard 15 jours après la notification du contrat.</w:t>
      </w:r>
    </w:p>
    <w:p w14:paraId="0001723B" w14:textId="77777777" w:rsidR="00401C82" w:rsidRDefault="00000000">
      <w:pPr>
        <w:jc w:val="both"/>
        <w:rPr>
          <w:rFonts w:asciiTheme="minorHAnsi" w:hAnsiTheme="minorHAnsi" w:cstheme="minorBidi"/>
          <w:sz w:val="22"/>
          <w:szCs w:val="22"/>
        </w:rPr>
      </w:pPr>
      <w:r>
        <w:rPr>
          <w:rFonts w:asciiTheme="minorHAnsi" w:hAnsiTheme="minorHAnsi" w:cstheme="minorBidi"/>
          <w:sz w:val="22"/>
          <w:szCs w:val="22"/>
        </w:rPr>
        <w:t xml:space="preserve">Une coordination étroite avec les équipes </w:t>
      </w:r>
      <w:proofErr w:type="spellStart"/>
      <w:r>
        <w:rPr>
          <w:rFonts w:asciiTheme="minorHAnsi" w:hAnsiTheme="minorHAnsi" w:cstheme="minorBidi"/>
          <w:sz w:val="22"/>
          <w:szCs w:val="22"/>
        </w:rPr>
        <w:t>MdE</w:t>
      </w:r>
      <w:proofErr w:type="spellEnd"/>
      <w:r>
        <w:rPr>
          <w:rFonts w:asciiTheme="minorHAnsi" w:hAnsiTheme="minorHAnsi" w:cstheme="minorBidi"/>
          <w:sz w:val="22"/>
          <w:szCs w:val="22"/>
        </w:rPr>
        <w:t>, MAE, MEF, FHB, ANAP, ANDH et autres directions et la DUE devra impérativement être mise en place dès la préparation des missions et jusqu’à leur finalisation. En outre, des échanges réguliers avec les parties prenantes institutionnelles seront à prévoir sur l’état d’avancement des missions et éventuellement les difficultés rencontrées.</w:t>
      </w:r>
    </w:p>
    <w:p w14:paraId="5287E9DB" w14:textId="77777777" w:rsidR="00401C82" w:rsidRDefault="00000000">
      <w:pPr>
        <w:jc w:val="both"/>
        <w:rPr>
          <w:rFonts w:asciiTheme="minorHAnsi" w:hAnsiTheme="minorHAnsi" w:cstheme="minorBidi"/>
          <w:sz w:val="22"/>
          <w:szCs w:val="22"/>
        </w:rPr>
      </w:pPr>
      <w:r>
        <w:br/>
      </w:r>
      <w:r>
        <w:rPr>
          <w:rFonts w:asciiTheme="minorHAnsi" w:hAnsiTheme="minorHAnsi" w:cstheme="minorBidi"/>
          <w:sz w:val="22"/>
          <w:szCs w:val="22"/>
        </w:rPr>
        <w:t>Les livrables seront remis en format numérique à dates convenues. La validation relève d’une approbation écrite (</w:t>
      </w:r>
      <w:proofErr w:type="gramStart"/>
      <w:r>
        <w:rPr>
          <w:rFonts w:asciiTheme="minorHAnsi" w:hAnsiTheme="minorHAnsi" w:cstheme="minorBidi"/>
          <w:sz w:val="22"/>
          <w:szCs w:val="22"/>
        </w:rPr>
        <w:t>e-mail</w:t>
      </w:r>
      <w:proofErr w:type="gramEnd"/>
      <w:r>
        <w:rPr>
          <w:rFonts w:asciiTheme="minorHAnsi" w:hAnsiTheme="minorHAnsi" w:cstheme="minorBidi"/>
          <w:sz w:val="22"/>
          <w:szCs w:val="22"/>
        </w:rPr>
        <w:t>) par le/la responsable d’</w:t>
      </w:r>
      <w:proofErr w:type="spellStart"/>
      <w:r>
        <w:rPr>
          <w:rFonts w:asciiTheme="minorHAnsi" w:hAnsiTheme="minorHAnsi" w:cstheme="minorBidi"/>
          <w:sz w:val="22"/>
          <w:szCs w:val="22"/>
        </w:rPr>
        <w:t>Euroclima</w:t>
      </w:r>
      <w:proofErr w:type="spellEnd"/>
      <w:r>
        <w:rPr>
          <w:rFonts w:asciiTheme="minorHAnsi" w:hAnsiTheme="minorHAnsi" w:cstheme="minorBidi"/>
          <w:sz w:val="22"/>
          <w:szCs w:val="22"/>
        </w:rPr>
        <w:t xml:space="preserve">. Le prestataire ne peut présumer la </w:t>
      </w:r>
      <w:proofErr w:type="gramStart"/>
      <w:r>
        <w:rPr>
          <w:rFonts w:asciiTheme="minorHAnsi" w:hAnsiTheme="minorHAnsi" w:cstheme="minorBidi"/>
          <w:sz w:val="22"/>
          <w:szCs w:val="22"/>
        </w:rPr>
        <w:t>validation;</w:t>
      </w:r>
      <w:proofErr w:type="gramEnd"/>
      <w:r>
        <w:rPr>
          <w:rFonts w:asciiTheme="minorHAnsi" w:hAnsiTheme="minorHAnsi" w:cstheme="minorBidi"/>
          <w:sz w:val="22"/>
          <w:szCs w:val="22"/>
        </w:rPr>
        <w:t xml:space="preserve"> un cycle de revue/commentaires/révisions doit être prévu, avec traçabilité des modifications (versioning) et consolidation des remarques.</w:t>
      </w:r>
    </w:p>
    <w:p w14:paraId="43236365" w14:textId="77777777" w:rsidR="00401C82" w:rsidRDefault="00000000">
      <w:pPr>
        <w:spacing w:before="240" w:after="240"/>
        <w:jc w:val="both"/>
      </w:pPr>
      <w:r>
        <w:rPr>
          <w:rFonts w:ascii="Calibri" w:eastAsia="Calibri" w:hAnsi="Calibri" w:cs="Calibri"/>
          <w:sz w:val="22"/>
          <w:szCs w:val="22"/>
        </w:rPr>
        <w:t xml:space="preserve">La langue de travail principale de la mission est le </w:t>
      </w:r>
      <w:r>
        <w:rPr>
          <w:rFonts w:ascii="Calibri" w:eastAsia="Calibri" w:hAnsi="Calibri" w:cs="Calibri"/>
          <w:b/>
          <w:bCs/>
          <w:sz w:val="22"/>
          <w:szCs w:val="22"/>
        </w:rPr>
        <w:t>français, mais certains livrables clés pourront être produits en version bilingue (français/anglais)</w:t>
      </w:r>
      <w:r>
        <w:rPr>
          <w:rFonts w:ascii="Calibri" w:eastAsia="Calibri" w:hAnsi="Calibri" w:cs="Calibri"/>
          <w:sz w:val="22"/>
          <w:szCs w:val="22"/>
        </w:rPr>
        <w:t>. À ce titre :</w:t>
      </w:r>
    </w:p>
    <w:p w14:paraId="3FA8E7C4" w14:textId="77777777" w:rsidR="00401C82" w:rsidRDefault="00000000">
      <w:pPr>
        <w:pStyle w:val="Paragraphedeliste"/>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L’ensemble des livrables destinés aux institutions nationales haïtiennes, y compris, sans s’y limiter, les notes stratégiques, rapports d’analyse, feuilles de route, procédures institutionnelles, cadres juridiques, manuels utilisateurs, supports de formation, comptes rendus d’ateliers et documents d’appropriation, devront être rédigés et remis en français, afin de garantir leur pleine compréhension, appropriation et mise en œuvre par les autorités compétentes.</w:t>
      </w:r>
    </w:p>
    <w:p w14:paraId="4DD02E62" w14:textId="77777777" w:rsidR="00401C82" w:rsidRDefault="00000000">
      <w:pPr>
        <w:pStyle w:val="Paragraphedeliste"/>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lastRenderedPageBreak/>
        <w:t xml:space="preserve">Les livrables à vocation externe ou orientés vers les investisseurs, acheteurs carbone, bailleurs internationaux ou partenaires financiers, notamment les business cases, modèles financiers, </w:t>
      </w:r>
      <w:proofErr w:type="spellStart"/>
      <w:r>
        <w:rPr>
          <w:rFonts w:ascii="Calibri" w:eastAsia="Calibri" w:hAnsi="Calibri" w:cs="Calibri"/>
          <w:sz w:val="22"/>
          <w:szCs w:val="22"/>
        </w:rPr>
        <w:t>term-sheets</w:t>
      </w:r>
      <w:proofErr w:type="spellEnd"/>
      <w:r>
        <w:rPr>
          <w:rFonts w:ascii="Calibri" w:eastAsia="Calibri" w:hAnsi="Calibri" w:cs="Calibri"/>
          <w:sz w:val="22"/>
          <w:szCs w:val="22"/>
        </w:rPr>
        <w:t xml:space="preserve"> pré-ERPA, notes d’investissement, supports de présentation (« pitch decks »), teasers et tout document destiné à des échanges de marché, devront être produits en anglais, dans un format et un niveau de qualité conformes aux standards internationaux de la finance climat et des marchés carbone.</w:t>
      </w:r>
    </w:p>
    <w:p w14:paraId="469039D2" w14:textId="77777777" w:rsidR="00401C82" w:rsidRDefault="00000000">
      <w:pPr>
        <w:pStyle w:val="Paragraphedeliste"/>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Lorsque cela est jugé pertinent pour assurer la cohérence du dispositif ou faciliter les échanges entre acteurs nationaux et internationaux, </w:t>
      </w:r>
      <w:r>
        <w:rPr>
          <w:rFonts w:ascii="Calibri" w:eastAsia="Calibri" w:hAnsi="Calibri" w:cs="Calibri"/>
          <w:b/>
          <w:bCs/>
          <w:sz w:val="22"/>
          <w:szCs w:val="22"/>
        </w:rPr>
        <w:t>certains livrables clés pourront être produits en version bilingue (français/anglais),</w:t>
      </w:r>
      <w:r>
        <w:rPr>
          <w:rFonts w:ascii="Calibri" w:eastAsia="Calibri" w:hAnsi="Calibri" w:cs="Calibri"/>
          <w:sz w:val="22"/>
          <w:szCs w:val="22"/>
        </w:rPr>
        <w:t xml:space="preserve"> sur instruction du pouvoir adjudicateur ou après validation par Expertise France.</w:t>
      </w:r>
    </w:p>
    <w:p w14:paraId="26070D6D" w14:textId="77777777" w:rsidR="00401C82" w:rsidRDefault="00000000">
      <w:pPr>
        <w:spacing w:before="240" w:after="240"/>
        <w:jc w:val="both"/>
        <w:rPr>
          <w:rFonts w:ascii="Calibri" w:eastAsia="Calibri" w:hAnsi="Calibri" w:cs="Calibri"/>
          <w:sz w:val="22"/>
          <w:szCs w:val="22"/>
        </w:rPr>
      </w:pPr>
      <w:r>
        <w:rPr>
          <w:rFonts w:ascii="Calibri" w:eastAsia="Calibri" w:hAnsi="Calibri" w:cs="Calibri"/>
          <w:sz w:val="22"/>
          <w:szCs w:val="22"/>
        </w:rPr>
        <w:t>Le prestataire est responsable de la qualité rédactionnelle, de la cohérence terminologique et de l’exactitude technique des livrables dans chaque langue. Les traductions, le cas échéant, devront être fidèles, professionnelles et adaptées à l’usage opérationnel ou transactionnel des documents concernés.</w:t>
      </w:r>
    </w:p>
    <w:p w14:paraId="779AC3CB" w14:textId="77777777" w:rsidR="00401C82" w:rsidRDefault="00401C82">
      <w:pPr>
        <w:rPr>
          <w:rFonts w:asciiTheme="minorHAnsi" w:hAnsiTheme="minorHAnsi" w:cstheme="minorBidi"/>
          <w:sz w:val="22"/>
          <w:szCs w:val="22"/>
        </w:rPr>
      </w:pPr>
    </w:p>
    <w:p w14:paraId="0756419A"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Lieu, Durée et Modalités d’exécution</w:t>
      </w:r>
    </w:p>
    <w:p w14:paraId="131F785B" w14:textId="77777777" w:rsidR="00401C82" w:rsidRDefault="00401C82">
      <w:pPr>
        <w:rPr>
          <w:rFonts w:asciiTheme="minorHAnsi" w:hAnsiTheme="minorHAnsi" w:cstheme="minorBidi"/>
          <w:sz w:val="22"/>
          <w:szCs w:val="22"/>
          <w:highlight w:val="cyan"/>
        </w:rPr>
      </w:pPr>
    </w:p>
    <w:p w14:paraId="3958F282" w14:textId="77777777" w:rsidR="00401C82" w:rsidRDefault="00000000">
      <w:pPr>
        <w:jc w:val="both"/>
        <w:rPr>
          <w:rFonts w:ascii="Calibri" w:eastAsia="Calibri" w:hAnsi="Calibri" w:cs="Calibri"/>
          <w:sz w:val="22"/>
          <w:szCs w:val="22"/>
        </w:rPr>
      </w:pPr>
      <w:r>
        <w:rPr>
          <w:rFonts w:ascii="Calibri" w:eastAsia="Calibri" w:hAnsi="Calibri" w:cs="Calibri"/>
          <w:b/>
          <w:bCs/>
          <w:sz w:val="22"/>
          <w:szCs w:val="22"/>
        </w:rPr>
        <w:t>Plan de travail :</w:t>
      </w:r>
    </w:p>
    <w:p w14:paraId="245C2897" w14:textId="77777777" w:rsidR="00401C82" w:rsidRDefault="00000000">
      <w:pPr>
        <w:jc w:val="both"/>
        <w:rPr>
          <w:rFonts w:ascii="Calibri" w:eastAsia="Calibri" w:hAnsi="Calibri" w:cs="Calibri"/>
          <w:sz w:val="22"/>
          <w:szCs w:val="22"/>
        </w:rPr>
      </w:pPr>
      <w:r>
        <w:rPr>
          <w:rFonts w:ascii="Calibri" w:eastAsia="Calibri" w:hAnsi="Calibri" w:cs="Calibri"/>
          <w:sz w:val="22"/>
          <w:szCs w:val="22"/>
        </w:rPr>
        <w:t>Le prestataire de services devra soumettre un plan de travail détaillé dans le cadre de sa proposition technique. Toute modification de l’agenda provisoire devra être dûment justifiée. La section précédente présente un plan de travail indicatif, susceptible d’être ajusté selon le jugement professionnel du cabinet de conseil. Le plan de travail devra tenir compte du délai nécessaire à EF pour l’examen et l’approbation des livrables (min deux à trois semaines).</w:t>
      </w:r>
    </w:p>
    <w:p w14:paraId="7E8DE7A4" w14:textId="77777777" w:rsidR="00401C82" w:rsidRDefault="00000000">
      <w:pPr>
        <w:spacing w:before="240" w:after="240"/>
        <w:jc w:val="both"/>
        <w:rPr>
          <w:rFonts w:ascii="Calibri" w:eastAsia="Calibri" w:hAnsi="Calibri" w:cs="Calibri"/>
          <w:sz w:val="22"/>
          <w:szCs w:val="22"/>
        </w:rPr>
      </w:pPr>
      <w:r>
        <w:rPr>
          <w:rFonts w:ascii="Calibri" w:eastAsia="Calibri" w:hAnsi="Calibri" w:cs="Calibri"/>
          <w:b/>
          <w:bCs/>
          <w:sz w:val="22"/>
          <w:szCs w:val="22"/>
        </w:rPr>
        <w:t>Lieu de la mission :</w:t>
      </w:r>
    </w:p>
    <w:p w14:paraId="24FC8706" w14:textId="77777777" w:rsidR="00401C82"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Les activités seront réalisées en partie </w:t>
      </w:r>
      <w:r>
        <w:rPr>
          <w:rFonts w:ascii="Calibri" w:eastAsia="Calibri" w:hAnsi="Calibri" w:cs="Calibri"/>
          <w:b/>
          <w:bCs/>
          <w:sz w:val="22"/>
          <w:szCs w:val="22"/>
        </w:rPr>
        <w:t>à distance et en présentiel en Haïti.</w:t>
      </w:r>
      <w:r>
        <w:rPr>
          <w:rFonts w:ascii="Calibri" w:eastAsia="Calibri" w:hAnsi="Calibri" w:cs="Calibri"/>
          <w:sz w:val="22"/>
          <w:szCs w:val="22"/>
        </w:rPr>
        <w:t xml:space="preserve"> Le consultant devra proposer, dans son plan de travail, une répartition appropriée entre le travail à distance et le travail en présentiel, en fonction de la nature des activités à mener.</w:t>
      </w:r>
    </w:p>
    <w:p w14:paraId="06D4C22E" w14:textId="77777777" w:rsidR="00401C82" w:rsidRDefault="00000000">
      <w:pPr>
        <w:spacing w:before="240" w:after="240"/>
        <w:rPr>
          <w:rFonts w:ascii="Calibri" w:eastAsia="Calibri" w:hAnsi="Calibri" w:cs="Calibri"/>
          <w:sz w:val="22"/>
          <w:szCs w:val="22"/>
        </w:rPr>
      </w:pPr>
      <w:r>
        <w:rPr>
          <w:rFonts w:ascii="Calibri" w:eastAsia="Calibri" w:hAnsi="Calibri" w:cs="Calibri"/>
          <w:b/>
          <w:bCs/>
          <w:sz w:val="22"/>
          <w:szCs w:val="22"/>
        </w:rPr>
        <w:t>Période estimée de mise en œuvre :</w:t>
      </w:r>
      <w:r>
        <w:rPr>
          <w:rFonts w:ascii="Calibri" w:eastAsia="Calibri" w:hAnsi="Calibri" w:cs="Calibri"/>
          <w:sz w:val="22"/>
          <w:szCs w:val="22"/>
        </w:rPr>
        <w:t xml:space="preserve"> De mai-juin 2026 à mai-juin 2027.</w:t>
      </w:r>
    </w:p>
    <w:p w14:paraId="2B2A1FC0" w14:textId="77777777" w:rsidR="00401C82" w:rsidRDefault="00000000">
      <w:pPr>
        <w:spacing w:before="240" w:after="240" w:line="259" w:lineRule="auto"/>
        <w:rPr>
          <w:rFonts w:ascii="Calibri" w:eastAsia="Calibri" w:hAnsi="Calibri" w:cs="Calibri"/>
          <w:sz w:val="22"/>
          <w:szCs w:val="22"/>
        </w:rPr>
      </w:pPr>
      <w:r>
        <w:rPr>
          <w:rFonts w:ascii="Calibri" w:eastAsia="Calibri" w:hAnsi="Calibri" w:cs="Calibri"/>
          <w:b/>
          <w:bCs/>
          <w:sz w:val="22"/>
          <w:szCs w:val="22"/>
        </w:rPr>
        <w:t xml:space="preserve">Durée effective de la mission : </w:t>
      </w:r>
      <w:r>
        <w:rPr>
          <w:rFonts w:ascii="Calibri" w:eastAsia="Calibri" w:hAnsi="Calibri" w:cs="Calibri"/>
          <w:sz w:val="22"/>
          <w:szCs w:val="22"/>
        </w:rPr>
        <w:t xml:space="preserve"> Douze (12) mois, à compter de la date de notification du contrat.</w:t>
      </w:r>
    </w:p>
    <w:p w14:paraId="0A10D5B4" w14:textId="77777777" w:rsidR="00401C82" w:rsidRDefault="00401C82">
      <w:pPr>
        <w:rPr>
          <w:rFonts w:asciiTheme="minorHAnsi" w:hAnsiTheme="minorHAnsi" w:cstheme="minorHAnsi"/>
          <w:sz w:val="22"/>
          <w:szCs w:val="22"/>
        </w:rPr>
      </w:pPr>
    </w:p>
    <w:p w14:paraId="42E322C6"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Expertise et profil demandés</w:t>
      </w:r>
    </w:p>
    <w:p w14:paraId="1EB9CB3E" w14:textId="77777777" w:rsidR="00401C82" w:rsidRDefault="00401C82">
      <w:pPr>
        <w:ind w:left="540"/>
        <w:rPr>
          <w:rFonts w:asciiTheme="minorHAnsi" w:eastAsia="Arial Unicode MS" w:hAnsiTheme="minorHAnsi" w:cstheme="minorHAnsi"/>
          <w:b/>
          <w:sz w:val="22"/>
          <w:szCs w:val="22"/>
          <w:lang w:eastAsia="en-US"/>
        </w:rPr>
      </w:pPr>
    </w:p>
    <w:p w14:paraId="58B6BDAC" w14:textId="77777777" w:rsidR="00401C82" w:rsidRDefault="00000000">
      <w:pPr>
        <w:numPr>
          <w:ilvl w:val="1"/>
          <w:numId w:val="31"/>
        </w:numPr>
        <w:tabs>
          <w:tab w:val="clear" w:pos="1440"/>
          <w:tab w:val="num" w:pos="900"/>
        </w:tabs>
        <w:spacing w:after="240"/>
        <w:ind w:left="900"/>
        <w:rPr>
          <w:rFonts w:ascii="Calibri" w:eastAsia="Calibri" w:hAnsi="Calibri" w:cs="Calibri"/>
          <w:sz w:val="22"/>
          <w:szCs w:val="22"/>
        </w:rPr>
      </w:pPr>
      <w:r>
        <w:rPr>
          <w:rFonts w:ascii="Calibri" w:eastAsia="Calibri" w:hAnsi="Calibri" w:cs="Calibri"/>
          <w:b/>
          <w:bCs/>
          <w:sz w:val="22"/>
          <w:szCs w:val="22"/>
        </w:rPr>
        <w:t>Expérience professionnelle :</w:t>
      </w:r>
    </w:p>
    <w:p w14:paraId="75975981" w14:textId="77777777" w:rsidR="00401C82" w:rsidRDefault="00000000">
      <w:pPr>
        <w:spacing w:after="240" w:line="259" w:lineRule="auto"/>
        <w:jc w:val="both"/>
        <w:rPr>
          <w:rFonts w:ascii="Calibri" w:eastAsia="Calibri" w:hAnsi="Calibri" w:cs="Calibri"/>
          <w:sz w:val="22"/>
          <w:szCs w:val="22"/>
        </w:rPr>
      </w:pPr>
      <w:r>
        <w:rPr>
          <w:rFonts w:ascii="Calibri" w:eastAsia="Calibri" w:hAnsi="Calibri" w:cs="Calibri"/>
          <w:sz w:val="22"/>
          <w:szCs w:val="22"/>
        </w:rPr>
        <w:t>Bureau d’études/consortium disposant d’une expertise locale ou régionale et d’une bonne connaissance du contexte économique en Haïti et dans les Caraïbes. Les propositions doivent présenter des références démontrant une expérience pertinente et similaire, ou avec des projets liés à l’exécution carbone, la structuration Article 6, les systèmes MRV, la finance structurée et la gouvernance inclusive. Le Bureau d’études/consortium doit démontrer un solide historique de cas pertinents et d’engagements réalisés par le passé.</w:t>
      </w:r>
    </w:p>
    <w:p w14:paraId="4A51AAE4" w14:textId="77777777" w:rsidR="00401C82" w:rsidRDefault="00000000">
      <w:pPr>
        <w:spacing w:before="240" w:after="240" w:line="259" w:lineRule="auto"/>
        <w:jc w:val="both"/>
        <w:rPr>
          <w:rFonts w:asciiTheme="minorHAnsi" w:hAnsiTheme="minorHAnsi" w:cstheme="minorBidi"/>
          <w:b/>
          <w:bCs/>
          <w:sz w:val="22"/>
          <w:szCs w:val="22"/>
          <w:u w:val="single"/>
        </w:rPr>
      </w:pPr>
      <w:r>
        <w:rPr>
          <w:rFonts w:ascii="Calibri" w:eastAsia="Calibri" w:hAnsi="Calibri" w:cs="Calibri"/>
          <w:sz w:val="22"/>
          <w:szCs w:val="22"/>
        </w:rPr>
        <w:lastRenderedPageBreak/>
        <w:t xml:space="preserve">Un équilibre entre les genres dans la composition de l’équipe sera valorisé. Tous les membres de l’équipe doivent maîtriser l’expression écrite et orale des langues françaises et anglaises. Le Bureau d’étude devra respecter la composition de l’équipe telle que spécifiée et proposée dans son offre technique et ne pourra y apporter de modifications sans l’approbation écrite préalable d’Expertise France. </w:t>
      </w:r>
    </w:p>
    <w:p w14:paraId="3A15BE93" w14:textId="77777777" w:rsidR="00401C82" w:rsidRDefault="00000000">
      <w:pPr>
        <w:spacing w:before="240" w:after="240" w:line="259" w:lineRule="auto"/>
        <w:jc w:val="both"/>
        <w:rPr>
          <w:rFonts w:asciiTheme="minorHAnsi" w:hAnsiTheme="minorHAnsi" w:cstheme="minorBidi"/>
          <w:b/>
          <w:bCs/>
          <w:sz w:val="22"/>
          <w:szCs w:val="22"/>
          <w:u w:val="single"/>
        </w:rPr>
      </w:pPr>
      <w:r>
        <w:rPr>
          <w:rFonts w:ascii="Calibri" w:eastAsia="Calibri" w:hAnsi="Calibri" w:cs="Calibri"/>
          <w:b/>
          <w:bCs/>
          <w:sz w:val="22"/>
          <w:szCs w:val="22"/>
          <w:u w:val="single"/>
        </w:rPr>
        <w:t xml:space="preserve">Profils minimum </w:t>
      </w:r>
      <w:proofErr w:type="spellStart"/>
      <w:proofErr w:type="gramStart"/>
      <w:r>
        <w:rPr>
          <w:rFonts w:ascii="Calibri" w:eastAsia="Calibri" w:hAnsi="Calibri" w:cs="Calibri"/>
          <w:b/>
          <w:bCs/>
          <w:sz w:val="22"/>
          <w:szCs w:val="22"/>
          <w:u w:val="single"/>
        </w:rPr>
        <w:t>requis</w:t>
      </w:r>
      <w:r>
        <w:rPr>
          <w:rFonts w:asciiTheme="minorHAnsi" w:hAnsiTheme="minorHAnsi" w:cstheme="minorBidi"/>
          <w:b/>
          <w:bCs/>
          <w:sz w:val="22"/>
          <w:szCs w:val="22"/>
        </w:rPr>
        <w:t>:</w:t>
      </w:r>
      <w:r>
        <w:rPr>
          <w:rFonts w:asciiTheme="minorHAnsi" w:hAnsiTheme="minorHAnsi" w:cstheme="minorBidi"/>
          <w:b/>
          <w:bCs/>
          <w:sz w:val="22"/>
          <w:szCs w:val="22"/>
          <w:u w:val="single"/>
        </w:rPr>
        <w:t>Chef.fe</w:t>
      </w:r>
      <w:proofErr w:type="spellEnd"/>
      <w:proofErr w:type="gramEnd"/>
      <w:r>
        <w:rPr>
          <w:rFonts w:asciiTheme="minorHAnsi" w:hAnsiTheme="minorHAnsi" w:cstheme="minorBidi"/>
          <w:b/>
          <w:bCs/>
          <w:sz w:val="22"/>
          <w:szCs w:val="22"/>
          <w:u w:val="single"/>
        </w:rPr>
        <w:t xml:space="preserve"> d’équipe / Directeur/</w:t>
      </w:r>
      <w:proofErr w:type="spellStart"/>
      <w:r>
        <w:rPr>
          <w:rFonts w:asciiTheme="minorHAnsi" w:hAnsiTheme="minorHAnsi" w:cstheme="minorBidi"/>
          <w:b/>
          <w:bCs/>
          <w:sz w:val="22"/>
          <w:szCs w:val="22"/>
          <w:u w:val="single"/>
        </w:rPr>
        <w:t>trice</w:t>
      </w:r>
      <w:proofErr w:type="spellEnd"/>
      <w:r>
        <w:rPr>
          <w:rFonts w:asciiTheme="minorHAnsi" w:hAnsiTheme="minorHAnsi" w:cstheme="minorBidi"/>
          <w:b/>
          <w:bCs/>
          <w:sz w:val="22"/>
          <w:szCs w:val="22"/>
          <w:u w:val="single"/>
        </w:rPr>
        <w:t xml:space="preserve"> de mission</w:t>
      </w:r>
    </w:p>
    <w:p w14:paraId="6F3CEDC2" w14:textId="77777777" w:rsidR="00401C82" w:rsidRDefault="00401C82">
      <w:pPr>
        <w:ind w:left="708"/>
        <w:jc w:val="both"/>
      </w:pPr>
    </w:p>
    <w:p w14:paraId="0F7A1BF2" w14:textId="77777777" w:rsidR="00401C82" w:rsidRDefault="00000000">
      <w:pPr>
        <w:pStyle w:val="Paragraphedeliste"/>
        <w:numPr>
          <w:ilvl w:val="0"/>
          <w:numId w:val="15"/>
        </w:numPr>
        <w:jc w:val="both"/>
        <w:rPr>
          <w:rFonts w:asciiTheme="minorHAnsi" w:hAnsiTheme="minorHAnsi" w:cstheme="minorBidi"/>
          <w:sz w:val="22"/>
          <w:szCs w:val="22"/>
        </w:rPr>
      </w:pPr>
      <w:r>
        <w:rPr>
          <w:rFonts w:asciiTheme="minorHAnsi" w:hAnsiTheme="minorHAnsi" w:cstheme="minorBidi"/>
          <w:sz w:val="22"/>
          <w:szCs w:val="22"/>
        </w:rPr>
        <w:t xml:space="preserve">10+ ans en finance climat/carbone ; pilotage multi-expertise ; responsabilité qualité et relation client ; expérience SIDS/LDC/États </w:t>
      </w:r>
      <w:proofErr w:type="gramStart"/>
      <w:r>
        <w:rPr>
          <w:rFonts w:asciiTheme="minorHAnsi" w:hAnsiTheme="minorHAnsi" w:cstheme="minorBidi"/>
          <w:sz w:val="22"/>
          <w:szCs w:val="22"/>
        </w:rPr>
        <w:t>fragiles;</w:t>
      </w:r>
      <w:proofErr w:type="gramEnd"/>
    </w:p>
    <w:p w14:paraId="5A8EDF1D" w14:textId="77777777" w:rsidR="00401C82" w:rsidRDefault="00000000">
      <w:pPr>
        <w:pStyle w:val="Paragraphedeliste"/>
        <w:numPr>
          <w:ilvl w:val="0"/>
          <w:numId w:val="15"/>
        </w:numPr>
        <w:jc w:val="both"/>
        <w:rPr>
          <w:rFonts w:asciiTheme="minorHAnsi" w:hAnsiTheme="minorHAnsi" w:cstheme="minorBidi"/>
          <w:sz w:val="22"/>
          <w:szCs w:val="22"/>
        </w:rPr>
      </w:pPr>
      <w:r>
        <w:rPr>
          <w:rFonts w:asciiTheme="minorHAnsi" w:hAnsiTheme="minorHAnsi" w:cstheme="minorBidi"/>
          <w:sz w:val="22"/>
          <w:szCs w:val="22"/>
        </w:rPr>
        <w:t xml:space="preserve">Spécialiste Article 6 / Registres / Gouvernance </w:t>
      </w:r>
      <w:proofErr w:type="gramStart"/>
      <w:r>
        <w:rPr>
          <w:rFonts w:asciiTheme="minorHAnsi" w:hAnsiTheme="minorHAnsi" w:cstheme="minorBidi"/>
          <w:sz w:val="22"/>
          <w:szCs w:val="22"/>
        </w:rPr>
        <w:t>carbone;</w:t>
      </w:r>
      <w:proofErr w:type="gramEnd"/>
    </w:p>
    <w:p w14:paraId="36125153" w14:textId="77777777" w:rsidR="00401C82" w:rsidRDefault="00000000">
      <w:pPr>
        <w:pStyle w:val="Paragraphedeliste"/>
        <w:numPr>
          <w:ilvl w:val="0"/>
          <w:numId w:val="15"/>
        </w:numPr>
        <w:jc w:val="both"/>
        <w:rPr>
          <w:rFonts w:asciiTheme="minorHAnsi" w:hAnsiTheme="minorHAnsi" w:cstheme="minorBidi"/>
          <w:sz w:val="22"/>
          <w:szCs w:val="22"/>
        </w:rPr>
      </w:pPr>
      <w:r>
        <w:rPr>
          <w:rFonts w:asciiTheme="minorHAnsi" w:hAnsiTheme="minorHAnsi" w:cstheme="minorBidi"/>
          <w:sz w:val="22"/>
          <w:szCs w:val="22"/>
        </w:rPr>
        <w:t xml:space="preserve">Conception de processus d’autorisation, </w:t>
      </w:r>
      <w:proofErr w:type="spellStart"/>
      <w:r>
        <w:rPr>
          <w:rFonts w:asciiTheme="minorHAnsi" w:hAnsiTheme="minorHAnsi" w:cstheme="minorBidi"/>
          <w:sz w:val="22"/>
          <w:szCs w:val="22"/>
        </w:rPr>
        <w:t>LoA</w:t>
      </w:r>
      <w:proofErr w:type="spellEnd"/>
      <w:r>
        <w:rPr>
          <w:rFonts w:asciiTheme="minorHAnsi" w:hAnsiTheme="minorHAnsi" w:cstheme="minorBidi"/>
          <w:sz w:val="22"/>
          <w:szCs w:val="22"/>
        </w:rPr>
        <w:t xml:space="preserve">, traçabilité ; compréhension des </w:t>
      </w:r>
      <w:proofErr w:type="spellStart"/>
      <w:r>
        <w:rPr>
          <w:rFonts w:asciiTheme="minorHAnsi" w:hAnsiTheme="minorHAnsi" w:cstheme="minorBidi"/>
          <w:sz w:val="22"/>
          <w:szCs w:val="22"/>
        </w:rPr>
        <w:t>corresponding</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adjustments</w:t>
      </w:r>
      <w:proofErr w:type="spellEnd"/>
      <w:r>
        <w:rPr>
          <w:rFonts w:asciiTheme="minorHAnsi" w:hAnsiTheme="minorHAnsi" w:cstheme="minorBidi"/>
          <w:sz w:val="22"/>
          <w:szCs w:val="22"/>
        </w:rPr>
        <w:t xml:space="preserve"> et risques de double comptage ; capacité à produire un registre simplifié, SOP et manuel opératoire.</w:t>
      </w:r>
    </w:p>
    <w:p w14:paraId="77C6A54E" w14:textId="77777777" w:rsidR="00401C82" w:rsidRDefault="00401C82">
      <w:pPr>
        <w:rPr>
          <w:rFonts w:asciiTheme="minorHAnsi" w:hAnsiTheme="minorHAnsi" w:cstheme="minorHAnsi"/>
          <w:sz w:val="22"/>
          <w:szCs w:val="22"/>
        </w:rPr>
      </w:pPr>
    </w:p>
    <w:p w14:paraId="1AC09E78" w14:textId="77777777" w:rsidR="00401C82" w:rsidRDefault="00000000">
      <w:pPr>
        <w:rPr>
          <w:rFonts w:asciiTheme="minorHAnsi" w:hAnsiTheme="minorHAnsi" w:cstheme="minorBidi"/>
          <w:b/>
          <w:bCs/>
          <w:sz w:val="22"/>
          <w:szCs w:val="22"/>
          <w:u w:val="single"/>
        </w:rPr>
      </w:pPr>
      <w:r>
        <w:rPr>
          <w:rFonts w:asciiTheme="minorHAnsi" w:hAnsiTheme="minorHAnsi" w:cstheme="minorBidi"/>
          <w:b/>
          <w:bCs/>
          <w:sz w:val="22"/>
          <w:szCs w:val="22"/>
          <w:u w:val="single"/>
        </w:rPr>
        <w:t>Expert lead MRV / Carbone bleu</w:t>
      </w:r>
    </w:p>
    <w:p w14:paraId="6A8C2241" w14:textId="77777777" w:rsidR="00401C82" w:rsidRDefault="00401C82">
      <w:pPr>
        <w:rPr>
          <w:rFonts w:asciiTheme="minorHAnsi" w:hAnsiTheme="minorHAnsi" w:cstheme="minorBidi"/>
          <w:b/>
          <w:bCs/>
          <w:sz w:val="22"/>
          <w:szCs w:val="22"/>
          <w:u w:val="single"/>
        </w:rPr>
      </w:pPr>
    </w:p>
    <w:p w14:paraId="1D0B0E74" w14:textId="77777777" w:rsidR="00401C82" w:rsidRDefault="00000000">
      <w:pPr>
        <w:pStyle w:val="Paragraphedeliste"/>
        <w:numPr>
          <w:ilvl w:val="0"/>
          <w:numId w:val="14"/>
        </w:numPr>
        <w:rPr>
          <w:rFonts w:asciiTheme="minorHAnsi" w:hAnsiTheme="minorHAnsi" w:cstheme="minorBidi"/>
          <w:sz w:val="22"/>
          <w:szCs w:val="22"/>
        </w:rPr>
      </w:pPr>
      <w:r>
        <w:rPr>
          <w:rFonts w:asciiTheme="minorHAnsi" w:hAnsiTheme="minorHAnsi" w:cstheme="minorBidi"/>
          <w:sz w:val="22"/>
          <w:szCs w:val="22"/>
        </w:rPr>
        <w:t xml:space="preserve">Expertise mangroves/carbone bleu ; </w:t>
      </w:r>
    </w:p>
    <w:p w14:paraId="4C362EC3" w14:textId="77777777" w:rsidR="00401C82" w:rsidRDefault="00000000">
      <w:pPr>
        <w:pStyle w:val="Paragraphedeliste"/>
        <w:numPr>
          <w:ilvl w:val="0"/>
          <w:numId w:val="14"/>
        </w:numPr>
        <w:rPr>
          <w:rFonts w:asciiTheme="minorHAnsi" w:hAnsiTheme="minorHAnsi" w:cstheme="minorBidi"/>
          <w:sz w:val="22"/>
          <w:szCs w:val="22"/>
        </w:rPr>
      </w:pPr>
      <w:r>
        <w:rPr>
          <w:rFonts w:asciiTheme="minorHAnsi" w:hAnsiTheme="minorHAnsi" w:cstheme="minorBidi"/>
          <w:sz w:val="22"/>
          <w:szCs w:val="22"/>
        </w:rPr>
        <w:t xml:space="preserve">Capacité à traduire les exigences MRV en spécifications opérationnelles ; </w:t>
      </w:r>
    </w:p>
    <w:p w14:paraId="55ACD8A3" w14:textId="77777777" w:rsidR="00401C82" w:rsidRDefault="00000000">
      <w:pPr>
        <w:pStyle w:val="Paragraphedeliste"/>
        <w:numPr>
          <w:ilvl w:val="0"/>
          <w:numId w:val="14"/>
        </w:numPr>
        <w:rPr>
          <w:rFonts w:asciiTheme="minorHAnsi" w:hAnsiTheme="minorHAnsi" w:cstheme="minorBidi"/>
          <w:sz w:val="22"/>
          <w:szCs w:val="22"/>
        </w:rPr>
      </w:pPr>
      <w:r>
        <w:rPr>
          <w:rFonts w:asciiTheme="minorHAnsi" w:hAnsiTheme="minorHAnsi" w:cstheme="minorBidi"/>
          <w:sz w:val="22"/>
          <w:szCs w:val="22"/>
        </w:rPr>
        <w:t>Gestion des risques d’intégrité (</w:t>
      </w:r>
      <w:proofErr w:type="spellStart"/>
      <w:r>
        <w:rPr>
          <w:rFonts w:asciiTheme="minorHAnsi" w:hAnsiTheme="minorHAnsi" w:cstheme="minorBidi"/>
          <w:sz w:val="22"/>
          <w:szCs w:val="22"/>
        </w:rPr>
        <w:t>additionalité</w:t>
      </w:r>
      <w:proofErr w:type="spellEnd"/>
      <w:r>
        <w:rPr>
          <w:rFonts w:asciiTheme="minorHAnsi" w:hAnsiTheme="minorHAnsi" w:cstheme="minorBidi"/>
          <w:sz w:val="22"/>
          <w:szCs w:val="22"/>
        </w:rPr>
        <w:t xml:space="preserve">, permanence, fuites, buffers) ; </w:t>
      </w:r>
    </w:p>
    <w:p w14:paraId="62FFD156" w14:textId="77777777" w:rsidR="00401C82" w:rsidRDefault="00000000">
      <w:pPr>
        <w:pStyle w:val="Paragraphedeliste"/>
        <w:numPr>
          <w:ilvl w:val="0"/>
          <w:numId w:val="14"/>
        </w:numPr>
        <w:rPr>
          <w:rFonts w:asciiTheme="minorHAnsi" w:hAnsiTheme="minorHAnsi" w:cstheme="minorBidi"/>
          <w:sz w:val="22"/>
          <w:szCs w:val="22"/>
        </w:rPr>
      </w:pPr>
      <w:r>
        <w:rPr>
          <w:rFonts w:asciiTheme="minorHAnsi" w:hAnsiTheme="minorHAnsi" w:cstheme="minorBidi"/>
          <w:sz w:val="22"/>
          <w:szCs w:val="22"/>
        </w:rPr>
        <w:t>Dialogue avec institutions et partenaires de données.</w:t>
      </w:r>
    </w:p>
    <w:p w14:paraId="0B0EAE35" w14:textId="77777777" w:rsidR="00401C82" w:rsidRDefault="00401C82">
      <w:pPr>
        <w:rPr>
          <w:rFonts w:asciiTheme="minorHAnsi" w:hAnsiTheme="minorHAnsi" w:cstheme="minorHAnsi"/>
          <w:sz w:val="22"/>
          <w:szCs w:val="22"/>
        </w:rPr>
      </w:pPr>
    </w:p>
    <w:p w14:paraId="4D3DD230" w14:textId="77777777" w:rsidR="00401C82" w:rsidRDefault="00000000">
      <w:pPr>
        <w:rPr>
          <w:rFonts w:asciiTheme="minorHAnsi" w:hAnsiTheme="minorHAnsi" w:cstheme="minorHAnsi"/>
          <w:b/>
          <w:bCs/>
          <w:sz w:val="22"/>
          <w:szCs w:val="22"/>
          <w:u w:val="single"/>
        </w:rPr>
      </w:pPr>
      <w:r>
        <w:rPr>
          <w:rFonts w:asciiTheme="minorHAnsi" w:hAnsiTheme="minorHAnsi" w:cstheme="minorHAnsi"/>
          <w:b/>
          <w:bCs/>
          <w:sz w:val="22"/>
          <w:szCs w:val="22"/>
          <w:u w:val="single"/>
        </w:rPr>
        <w:t>Spécialiste finance structurée / Modélisation</w:t>
      </w:r>
    </w:p>
    <w:p w14:paraId="57B55859" w14:textId="77777777" w:rsidR="00401C82" w:rsidRDefault="00000000">
      <w:pPr>
        <w:jc w:val="both"/>
        <w:rPr>
          <w:rFonts w:asciiTheme="minorHAnsi" w:hAnsiTheme="minorHAnsi" w:cstheme="minorBidi"/>
          <w:sz w:val="22"/>
          <w:szCs w:val="22"/>
        </w:rPr>
      </w:pPr>
      <w:r>
        <w:br/>
      </w:r>
      <w:r>
        <w:rPr>
          <w:rFonts w:asciiTheme="minorHAnsi" w:hAnsiTheme="minorHAnsi" w:cstheme="minorBidi"/>
          <w:sz w:val="22"/>
          <w:szCs w:val="22"/>
        </w:rPr>
        <w:t xml:space="preserve">Modélisation multi-scénarios, sensibilités, structuration de </w:t>
      </w:r>
      <w:proofErr w:type="spellStart"/>
      <w:r>
        <w:rPr>
          <w:rFonts w:asciiTheme="minorHAnsi" w:hAnsiTheme="minorHAnsi" w:cstheme="minorBidi"/>
          <w:sz w:val="22"/>
          <w:szCs w:val="22"/>
        </w:rPr>
        <w:t>term-sheet</w:t>
      </w:r>
      <w:proofErr w:type="spellEnd"/>
      <w:r>
        <w:rPr>
          <w:rFonts w:asciiTheme="minorHAnsi" w:hAnsiTheme="minorHAnsi" w:cstheme="minorBidi"/>
          <w:sz w:val="22"/>
          <w:szCs w:val="22"/>
        </w:rPr>
        <w:t xml:space="preserve"> ; compréhension des logiques de risques (prix, volumes, délais MRV, buffers) ; expérience </w:t>
      </w:r>
      <w:proofErr w:type="spellStart"/>
      <w:r>
        <w:rPr>
          <w:rFonts w:asciiTheme="minorHAnsi" w:hAnsiTheme="minorHAnsi" w:cstheme="minorBidi"/>
          <w:sz w:val="22"/>
          <w:szCs w:val="22"/>
        </w:rPr>
        <w:t>blended</w:t>
      </w:r>
      <w:proofErr w:type="spellEnd"/>
      <w:r>
        <w:rPr>
          <w:rFonts w:asciiTheme="minorHAnsi" w:hAnsiTheme="minorHAnsi" w:cstheme="minorBidi"/>
          <w:sz w:val="22"/>
          <w:szCs w:val="22"/>
        </w:rPr>
        <w:t xml:space="preserve"> finance et mécanismes fiduciaires/fonds.</w:t>
      </w:r>
    </w:p>
    <w:p w14:paraId="630B3129" w14:textId="77777777" w:rsidR="00401C82" w:rsidRDefault="00401C82">
      <w:pPr>
        <w:rPr>
          <w:rFonts w:asciiTheme="minorHAnsi" w:hAnsiTheme="minorHAnsi" w:cstheme="minorHAnsi"/>
          <w:sz w:val="22"/>
          <w:szCs w:val="22"/>
        </w:rPr>
      </w:pPr>
    </w:p>
    <w:p w14:paraId="3F69E223" w14:textId="77777777" w:rsidR="00401C82" w:rsidRDefault="00000000">
      <w:pPr>
        <w:rPr>
          <w:rFonts w:asciiTheme="minorHAnsi" w:hAnsiTheme="minorHAnsi" w:cstheme="minorHAnsi"/>
          <w:b/>
          <w:bCs/>
          <w:sz w:val="22"/>
          <w:szCs w:val="22"/>
          <w:u w:val="single"/>
        </w:rPr>
      </w:pPr>
      <w:r>
        <w:rPr>
          <w:rFonts w:asciiTheme="minorHAnsi" w:hAnsiTheme="minorHAnsi" w:cstheme="minorHAnsi"/>
          <w:b/>
          <w:bCs/>
          <w:sz w:val="22"/>
          <w:szCs w:val="22"/>
          <w:u w:val="single"/>
        </w:rPr>
        <w:t>Juriste (tenure / contrats / partage des bénéfices)</w:t>
      </w:r>
    </w:p>
    <w:p w14:paraId="5C15364D" w14:textId="77777777" w:rsidR="00401C82" w:rsidRDefault="00000000">
      <w:pPr>
        <w:jc w:val="both"/>
        <w:rPr>
          <w:rFonts w:asciiTheme="minorHAnsi" w:hAnsiTheme="minorHAnsi" w:cstheme="minorBidi"/>
          <w:sz w:val="22"/>
          <w:szCs w:val="22"/>
        </w:rPr>
      </w:pPr>
      <w:r>
        <w:br/>
      </w:r>
      <w:r>
        <w:rPr>
          <w:rFonts w:asciiTheme="minorHAnsi" w:hAnsiTheme="minorHAnsi" w:cstheme="minorBidi"/>
          <w:sz w:val="22"/>
          <w:szCs w:val="22"/>
        </w:rPr>
        <w:t xml:space="preserve"> Analyse tenure et droits d’usage ; dispositifs de cogestion ; clauses de partage ; mécanismes de canalisation financière ; modèles éditables adaptés au contexte.</w:t>
      </w:r>
    </w:p>
    <w:p w14:paraId="34D0FCCB" w14:textId="77777777" w:rsidR="00401C82" w:rsidRDefault="00401C82">
      <w:pPr>
        <w:rPr>
          <w:rFonts w:asciiTheme="minorHAnsi" w:hAnsiTheme="minorHAnsi" w:cstheme="minorHAnsi"/>
          <w:sz w:val="22"/>
          <w:szCs w:val="22"/>
        </w:rPr>
      </w:pPr>
    </w:p>
    <w:p w14:paraId="507EC2E6" w14:textId="77777777" w:rsidR="00401C82" w:rsidRDefault="00000000">
      <w:pPr>
        <w:rPr>
          <w:rFonts w:asciiTheme="minorHAnsi" w:hAnsiTheme="minorHAnsi" w:cstheme="minorHAnsi"/>
          <w:b/>
          <w:bCs/>
          <w:sz w:val="22"/>
          <w:szCs w:val="22"/>
          <w:u w:val="single"/>
        </w:rPr>
      </w:pPr>
      <w:r>
        <w:rPr>
          <w:rFonts w:asciiTheme="minorHAnsi" w:hAnsiTheme="minorHAnsi" w:cstheme="minorHAnsi"/>
          <w:b/>
          <w:bCs/>
          <w:sz w:val="22"/>
          <w:szCs w:val="22"/>
          <w:u w:val="single"/>
        </w:rPr>
        <w:t>Spécialiste engagement parties prenantes et approche sociale carbone</w:t>
      </w:r>
    </w:p>
    <w:p w14:paraId="2A07D283" w14:textId="77777777" w:rsidR="00401C82" w:rsidRDefault="00000000">
      <w:pPr>
        <w:jc w:val="both"/>
        <w:rPr>
          <w:rFonts w:asciiTheme="minorHAnsi" w:hAnsiTheme="minorHAnsi" w:cstheme="minorBidi"/>
          <w:sz w:val="22"/>
          <w:szCs w:val="22"/>
        </w:rPr>
      </w:pPr>
      <w:r>
        <w:br/>
      </w:r>
      <w:r>
        <w:rPr>
          <w:rFonts w:asciiTheme="minorHAnsi" w:hAnsiTheme="minorHAnsi" w:cstheme="minorBidi"/>
          <w:sz w:val="22"/>
          <w:szCs w:val="22"/>
        </w:rPr>
        <w:t xml:space="preserve"> Animation d’ateliers ; documentation ; intégration genre/inclusion et participation communautaire ; indicateurs </w:t>
      </w:r>
      <w:proofErr w:type="spellStart"/>
      <w:r>
        <w:rPr>
          <w:rFonts w:asciiTheme="minorHAnsi" w:hAnsiTheme="minorHAnsi" w:cstheme="minorBidi"/>
          <w:sz w:val="22"/>
          <w:szCs w:val="22"/>
        </w:rPr>
        <w:t>sexo</w:t>
      </w:r>
      <w:proofErr w:type="spellEnd"/>
      <w:r>
        <w:rPr>
          <w:rFonts w:asciiTheme="minorHAnsi" w:hAnsiTheme="minorHAnsi" w:cstheme="minorBidi"/>
          <w:sz w:val="22"/>
          <w:szCs w:val="22"/>
        </w:rPr>
        <w:t>-désagrégés ; protocoles de consultation et mécanismes de plaintes.</w:t>
      </w:r>
    </w:p>
    <w:p w14:paraId="0923C715" w14:textId="77777777" w:rsidR="00401C82" w:rsidRDefault="00401C82">
      <w:pPr>
        <w:jc w:val="both"/>
        <w:rPr>
          <w:rFonts w:asciiTheme="minorHAnsi" w:hAnsiTheme="minorHAnsi" w:cstheme="minorBidi"/>
          <w:sz w:val="22"/>
          <w:szCs w:val="22"/>
        </w:rPr>
      </w:pPr>
    </w:p>
    <w:p w14:paraId="3C991BCA" w14:textId="77777777" w:rsidR="00401C82" w:rsidRDefault="00000000">
      <w:pPr>
        <w:spacing w:before="240" w:after="240" w:line="259" w:lineRule="auto"/>
        <w:jc w:val="both"/>
        <w:rPr>
          <w:rFonts w:ascii="Calibri" w:eastAsia="Calibri" w:hAnsi="Calibri" w:cs="Calibri"/>
          <w:sz w:val="22"/>
          <w:szCs w:val="22"/>
        </w:rPr>
      </w:pPr>
      <w:proofErr w:type="gramStart"/>
      <w:r>
        <w:rPr>
          <w:rFonts w:ascii="Calibri" w:eastAsia="Calibri" w:hAnsi="Calibri" w:cs="Calibri"/>
          <w:sz w:val="22"/>
          <w:szCs w:val="22"/>
          <w:u w:val="single"/>
        </w:rPr>
        <w:t>Note:</w:t>
      </w:r>
      <w:proofErr w:type="gramEnd"/>
      <w:r>
        <w:rPr>
          <w:rFonts w:ascii="Calibri" w:eastAsia="Calibri" w:hAnsi="Calibri" w:cs="Calibri"/>
          <w:sz w:val="22"/>
          <w:szCs w:val="22"/>
        </w:rPr>
        <w:t xml:space="preserve"> Le Bureau d’étude peut proposer dans son offre des profils additionnels, tant que ceux-ci apportent une expertise particulière à la bonne réalisation de la prestation.</w:t>
      </w:r>
    </w:p>
    <w:p w14:paraId="58CBDFD6" w14:textId="77777777" w:rsidR="00401C82" w:rsidRDefault="00401C82">
      <w:pPr>
        <w:rPr>
          <w:rFonts w:asciiTheme="minorHAnsi" w:hAnsiTheme="minorHAnsi" w:cstheme="minorBidi"/>
          <w:sz w:val="22"/>
          <w:szCs w:val="22"/>
        </w:rPr>
      </w:pPr>
    </w:p>
    <w:p w14:paraId="2056EB36"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Compte-rendu de missions</w:t>
      </w:r>
    </w:p>
    <w:p w14:paraId="418A419F" w14:textId="77777777" w:rsidR="00401C82" w:rsidRDefault="00401C82">
      <w:pPr>
        <w:rPr>
          <w:rFonts w:asciiTheme="minorHAnsi" w:hAnsiTheme="minorHAnsi" w:cstheme="minorHAnsi"/>
          <w:sz w:val="22"/>
          <w:szCs w:val="22"/>
        </w:rPr>
      </w:pPr>
    </w:p>
    <w:p w14:paraId="700443C8" w14:textId="77777777" w:rsidR="00401C82" w:rsidRDefault="00000000">
      <w:pPr>
        <w:spacing w:line="259" w:lineRule="auto"/>
        <w:rPr>
          <w:rFonts w:asciiTheme="minorHAnsi" w:hAnsiTheme="minorHAnsi" w:cstheme="minorBidi"/>
          <w:sz w:val="22"/>
          <w:szCs w:val="22"/>
        </w:rPr>
      </w:pPr>
      <w:r>
        <w:rPr>
          <w:rFonts w:asciiTheme="minorHAnsi" w:hAnsiTheme="minorHAnsi" w:cstheme="minorBidi"/>
          <w:sz w:val="22"/>
          <w:szCs w:val="22"/>
        </w:rPr>
        <w:lastRenderedPageBreak/>
        <w:t xml:space="preserve">Un compte rendu devra être remis par </w:t>
      </w:r>
      <w:r>
        <w:rPr>
          <w:rFonts w:asciiTheme="minorHAnsi" w:eastAsia="Arial Unicode MS" w:hAnsiTheme="minorHAnsi" w:cstheme="minorBidi"/>
          <w:sz w:val="22"/>
          <w:szCs w:val="22"/>
          <w:lang w:eastAsia="en-US"/>
        </w:rPr>
        <w:t xml:space="preserve">mail aux personnes de contact définit </w:t>
      </w:r>
      <w:r>
        <w:rPr>
          <w:rFonts w:asciiTheme="minorHAnsi" w:hAnsiTheme="minorHAnsi" w:cstheme="minorBidi"/>
          <w:sz w:val="22"/>
          <w:szCs w:val="22"/>
        </w:rPr>
        <w:t xml:space="preserve">à l’issue de chaque mission, dans un délai de deux à semaines. </w:t>
      </w:r>
      <w:r>
        <w:rPr>
          <w:rFonts w:asciiTheme="minorHAnsi" w:eastAsia="Arial Unicode MS" w:hAnsiTheme="minorHAnsi" w:cstheme="minorBidi"/>
          <w:sz w:val="22"/>
          <w:szCs w:val="22"/>
          <w:lang w:eastAsia="en-US"/>
        </w:rPr>
        <w:t> </w:t>
      </w:r>
    </w:p>
    <w:p w14:paraId="6EA93362" w14:textId="77777777" w:rsidR="00401C82" w:rsidRDefault="00401C82">
      <w:pPr>
        <w:rPr>
          <w:rFonts w:asciiTheme="minorHAnsi" w:eastAsia="Arial Unicode MS" w:hAnsiTheme="minorHAnsi" w:cstheme="minorHAnsi"/>
          <w:b/>
          <w:sz w:val="22"/>
          <w:szCs w:val="22"/>
          <w:lang w:eastAsia="en-US"/>
        </w:rPr>
      </w:pPr>
    </w:p>
    <w:p w14:paraId="6C252DCF"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Pr>
          <w:rFonts w:asciiTheme="minorHAnsi" w:eastAsia="Arial Unicode MS" w:hAnsiTheme="minorHAnsi" w:cstheme="minorHAnsi"/>
          <w:b/>
          <w:sz w:val="22"/>
          <w:szCs w:val="22"/>
          <w:lang w:eastAsia="en-US"/>
        </w:rPr>
        <w:t xml:space="preserve">Suivi-évaluation </w:t>
      </w:r>
    </w:p>
    <w:p w14:paraId="695B5E1A" w14:textId="77777777" w:rsidR="00401C82" w:rsidRDefault="00401C82">
      <w:pPr>
        <w:rPr>
          <w:rFonts w:asciiTheme="minorHAnsi" w:eastAsia="Arial Unicode MS" w:hAnsiTheme="minorHAnsi" w:cstheme="minorBidi"/>
          <w:sz w:val="22"/>
          <w:szCs w:val="22"/>
          <w:lang w:eastAsia="en-US"/>
        </w:rPr>
      </w:pPr>
    </w:p>
    <w:p w14:paraId="7135E7AE" w14:textId="77777777" w:rsidR="00401C82" w:rsidRDefault="00000000">
      <w:pPr>
        <w:rPr>
          <w:rFonts w:asciiTheme="minorHAnsi" w:hAnsiTheme="minorHAnsi" w:cstheme="minorHAnsi"/>
          <w:sz w:val="22"/>
          <w:szCs w:val="22"/>
        </w:rPr>
      </w:pPr>
      <w:r>
        <w:rPr>
          <w:rFonts w:asciiTheme="minorHAnsi" w:eastAsia="Arial Unicode MS" w:hAnsiTheme="minorHAnsi" w:cstheme="minorHAnsi"/>
          <w:b/>
          <w:sz w:val="22"/>
          <w:szCs w:val="22"/>
          <w:lang w:eastAsia="en-US"/>
        </w:rPr>
        <w:t>Indicateurs de performance</w:t>
      </w:r>
    </w:p>
    <w:p w14:paraId="3C05EF0E" w14:textId="77777777" w:rsidR="00401C82" w:rsidRDefault="00401C82">
      <w:pPr>
        <w:rPr>
          <w:rFonts w:asciiTheme="minorHAnsi" w:hAnsiTheme="minorHAnsi" w:cstheme="minorHAnsi"/>
          <w:sz w:val="22"/>
          <w:szCs w:val="22"/>
        </w:rPr>
      </w:pPr>
    </w:p>
    <w:tbl>
      <w:tblPr>
        <w:tblW w:w="0" w:type="auto"/>
        <w:tblCellSpacing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1580"/>
        <w:gridCol w:w="3746"/>
        <w:gridCol w:w="1919"/>
        <w:gridCol w:w="1817"/>
      </w:tblGrid>
      <w:tr w:rsidR="00401C82" w14:paraId="3F2B4FED" w14:textId="77777777">
        <w:trPr>
          <w:tblHeader/>
          <w:tblCellSpacing w:w="15" w:type="dxa"/>
        </w:trPr>
        <w:tc>
          <w:tcPr>
            <w:tcW w:w="0" w:type="auto"/>
            <w:vAlign w:val="center"/>
          </w:tcPr>
          <w:p w14:paraId="4AB0B4D7" w14:textId="77777777" w:rsidR="00401C82" w:rsidRDefault="00000000">
            <w:pPr>
              <w:rPr>
                <w:rFonts w:asciiTheme="minorHAnsi" w:hAnsiTheme="minorHAnsi" w:cstheme="minorHAnsi"/>
                <w:b/>
                <w:bCs/>
                <w:sz w:val="22"/>
                <w:szCs w:val="22"/>
              </w:rPr>
            </w:pPr>
            <w:r>
              <w:rPr>
                <w:rFonts w:asciiTheme="minorHAnsi" w:hAnsiTheme="minorHAnsi" w:cstheme="minorHAnsi"/>
                <w:b/>
                <w:bCs/>
                <w:sz w:val="22"/>
                <w:szCs w:val="22"/>
              </w:rPr>
              <w:t>Livrables</w:t>
            </w:r>
          </w:p>
        </w:tc>
        <w:tc>
          <w:tcPr>
            <w:tcW w:w="0" w:type="auto"/>
            <w:vAlign w:val="center"/>
          </w:tcPr>
          <w:p w14:paraId="78168441" w14:textId="77777777" w:rsidR="00401C82" w:rsidRDefault="00000000">
            <w:pPr>
              <w:rPr>
                <w:rFonts w:asciiTheme="minorHAnsi" w:hAnsiTheme="minorHAnsi" w:cstheme="minorHAnsi"/>
                <w:b/>
                <w:bCs/>
                <w:sz w:val="22"/>
                <w:szCs w:val="22"/>
              </w:rPr>
            </w:pPr>
            <w:r>
              <w:rPr>
                <w:rFonts w:asciiTheme="minorHAnsi" w:hAnsiTheme="minorHAnsi" w:cstheme="minorHAnsi"/>
                <w:b/>
                <w:bCs/>
                <w:sz w:val="22"/>
                <w:szCs w:val="22"/>
              </w:rPr>
              <w:t>Effets immédiats</w:t>
            </w:r>
          </w:p>
        </w:tc>
        <w:tc>
          <w:tcPr>
            <w:tcW w:w="0" w:type="auto"/>
            <w:vAlign w:val="center"/>
          </w:tcPr>
          <w:p w14:paraId="12DC9DE3" w14:textId="77777777" w:rsidR="00401C82" w:rsidRDefault="00000000">
            <w:pPr>
              <w:rPr>
                <w:rFonts w:asciiTheme="minorHAnsi" w:hAnsiTheme="minorHAnsi" w:cstheme="minorHAnsi"/>
                <w:b/>
                <w:bCs/>
                <w:sz w:val="22"/>
                <w:szCs w:val="22"/>
              </w:rPr>
            </w:pPr>
            <w:r>
              <w:rPr>
                <w:rFonts w:asciiTheme="minorHAnsi" w:hAnsiTheme="minorHAnsi" w:cstheme="minorHAnsi"/>
                <w:b/>
                <w:bCs/>
                <w:sz w:val="22"/>
                <w:szCs w:val="22"/>
              </w:rPr>
              <w:t>Effets intermédiaires</w:t>
            </w:r>
          </w:p>
        </w:tc>
        <w:tc>
          <w:tcPr>
            <w:tcW w:w="0" w:type="auto"/>
            <w:vAlign w:val="center"/>
          </w:tcPr>
          <w:p w14:paraId="34A1D313" w14:textId="77777777" w:rsidR="00401C82" w:rsidRDefault="00000000">
            <w:pPr>
              <w:rPr>
                <w:rFonts w:asciiTheme="minorHAnsi" w:hAnsiTheme="minorHAnsi" w:cstheme="minorHAnsi"/>
                <w:b/>
                <w:bCs/>
                <w:sz w:val="22"/>
                <w:szCs w:val="22"/>
              </w:rPr>
            </w:pPr>
            <w:r>
              <w:rPr>
                <w:rFonts w:asciiTheme="minorHAnsi" w:hAnsiTheme="minorHAnsi" w:cstheme="minorHAnsi"/>
                <w:b/>
                <w:bCs/>
                <w:sz w:val="22"/>
                <w:szCs w:val="22"/>
              </w:rPr>
              <w:t>Sources de vérification</w:t>
            </w:r>
          </w:p>
        </w:tc>
      </w:tr>
      <w:tr w:rsidR="00401C82" w14:paraId="3BC228F1" w14:textId="77777777">
        <w:trPr>
          <w:tblCellSpacing w:w="15" w:type="dxa"/>
        </w:trPr>
        <w:tc>
          <w:tcPr>
            <w:tcW w:w="0" w:type="auto"/>
            <w:vAlign w:val="center"/>
          </w:tcPr>
          <w:p w14:paraId="7BA610A2"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 xml:space="preserve">Rapport consolidé de gap </w:t>
            </w:r>
            <w:proofErr w:type="spellStart"/>
            <w:r>
              <w:rPr>
                <w:rFonts w:asciiTheme="minorHAnsi" w:hAnsiTheme="minorHAnsi" w:cstheme="minorHAnsi"/>
                <w:sz w:val="22"/>
                <w:szCs w:val="22"/>
              </w:rPr>
              <w:t>analysis</w:t>
            </w:r>
            <w:proofErr w:type="spellEnd"/>
            <w:r>
              <w:rPr>
                <w:rFonts w:asciiTheme="minorHAnsi" w:hAnsiTheme="minorHAnsi" w:cstheme="minorHAnsi"/>
                <w:sz w:val="22"/>
                <w:szCs w:val="22"/>
              </w:rPr>
              <w:t xml:space="preserve"> + registre parties prenantes</w:t>
            </w:r>
          </w:p>
        </w:tc>
        <w:tc>
          <w:tcPr>
            <w:tcW w:w="0" w:type="auto"/>
            <w:vAlign w:val="center"/>
          </w:tcPr>
          <w:p w14:paraId="2CD91961"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Diagnostic partagé des lacunes MRV/juridiques/tenure/institutionnelles</w:t>
            </w:r>
          </w:p>
        </w:tc>
        <w:tc>
          <w:tcPr>
            <w:tcW w:w="0" w:type="auto"/>
            <w:vAlign w:val="center"/>
          </w:tcPr>
          <w:p w14:paraId="1FAF61E7"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Alignement des acteurs sur un plan d’action commun</w:t>
            </w:r>
          </w:p>
        </w:tc>
        <w:tc>
          <w:tcPr>
            <w:tcW w:w="0" w:type="auto"/>
            <w:vAlign w:val="center"/>
          </w:tcPr>
          <w:p w14:paraId="264B8F38" w14:textId="77777777" w:rsidR="00401C82" w:rsidRDefault="00000000">
            <w:pPr>
              <w:rPr>
                <w:rFonts w:asciiTheme="minorHAnsi" w:hAnsiTheme="minorHAnsi" w:cstheme="minorBidi"/>
                <w:sz w:val="22"/>
                <w:szCs w:val="22"/>
              </w:rPr>
            </w:pPr>
            <w:r>
              <w:rPr>
                <w:rFonts w:asciiTheme="minorHAnsi" w:hAnsiTheme="minorHAnsi" w:cstheme="minorBidi"/>
                <w:sz w:val="22"/>
                <w:szCs w:val="22"/>
              </w:rPr>
              <w:t>Livrable validé ; CR ateliers ; registre parties prenantes</w:t>
            </w:r>
          </w:p>
        </w:tc>
      </w:tr>
      <w:tr w:rsidR="00401C82" w14:paraId="0D4341D0" w14:textId="77777777">
        <w:trPr>
          <w:tblCellSpacing w:w="15" w:type="dxa"/>
        </w:trPr>
        <w:tc>
          <w:tcPr>
            <w:tcW w:w="0" w:type="auto"/>
            <w:vAlign w:val="center"/>
          </w:tcPr>
          <w:p w14:paraId="22A977F9"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Feuille de route nationale 2025–2035 + modèles contractuels</w:t>
            </w:r>
          </w:p>
        </w:tc>
        <w:tc>
          <w:tcPr>
            <w:tcW w:w="0" w:type="auto"/>
            <w:vAlign w:val="center"/>
          </w:tcPr>
          <w:p w14:paraId="5A6C5DCD"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Feuille de route structurée et appropriée institutionnellement</w:t>
            </w:r>
          </w:p>
        </w:tc>
        <w:tc>
          <w:tcPr>
            <w:tcW w:w="0" w:type="auto"/>
            <w:vAlign w:val="center"/>
          </w:tcPr>
          <w:p w14:paraId="0A577338"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Déclenchement de la préparation de projets (pré-PDD/PDD) et sécurisation tenure/partage</w:t>
            </w:r>
          </w:p>
        </w:tc>
        <w:tc>
          <w:tcPr>
            <w:tcW w:w="0" w:type="auto"/>
            <w:vAlign w:val="center"/>
          </w:tcPr>
          <w:p w14:paraId="57EBD47A" w14:textId="77777777" w:rsidR="00401C82" w:rsidRDefault="00000000">
            <w:pPr>
              <w:rPr>
                <w:rFonts w:asciiTheme="minorHAnsi" w:hAnsiTheme="minorHAnsi" w:cstheme="minorBidi"/>
                <w:sz w:val="22"/>
                <w:szCs w:val="22"/>
              </w:rPr>
            </w:pPr>
            <w:r>
              <w:rPr>
                <w:rFonts w:asciiTheme="minorHAnsi" w:hAnsiTheme="minorHAnsi" w:cstheme="minorBidi"/>
                <w:sz w:val="22"/>
                <w:szCs w:val="22"/>
              </w:rPr>
              <w:t>Livrable validé ; modèles éditables ; PV validation</w:t>
            </w:r>
          </w:p>
        </w:tc>
      </w:tr>
      <w:tr w:rsidR="00401C82" w14:paraId="28D0D571" w14:textId="77777777">
        <w:trPr>
          <w:tblCellSpacing w:w="15" w:type="dxa"/>
        </w:trPr>
        <w:tc>
          <w:tcPr>
            <w:tcW w:w="0" w:type="auto"/>
            <w:vAlign w:val="center"/>
          </w:tcPr>
          <w:p w14:paraId="684074D8"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 xml:space="preserve">Procédure ITMO + </w:t>
            </w:r>
            <w:proofErr w:type="spellStart"/>
            <w:r>
              <w:rPr>
                <w:rFonts w:asciiTheme="minorHAnsi" w:hAnsiTheme="minorHAnsi" w:cstheme="minorHAnsi"/>
                <w:sz w:val="22"/>
                <w:szCs w:val="22"/>
              </w:rPr>
              <w:t>LoA</w:t>
            </w:r>
            <w:proofErr w:type="spellEnd"/>
            <w:r>
              <w:rPr>
                <w:rFonts w:asciiTheme="minorHAnsi" w:hAnsiTheme="minorHAnsi" w:cstheme="minorHAnsi"/>
                <w:sz w:val="22"/>
                <w:szCs w:val="22"/>
              </w:rPr>
              <w:t>-type + registre + manuel + test pilote</w:t>
            </w:r>
          </w:p>
        </w:tc>
        <w:tc>
          <w:tcPr>
            <w:tcW w:w="0" w:type="auto"/>
            <w:vAlign w:val="center"/>
          </w:tcPr>
          <w:p w14:paraId="0BCF69B9"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 xml:space="preserve">Capacité opérationnelle minimale Article 6.2 (traçabilité, </w:t>
            </w:r>
            <w:proofErr w:type="spellStart"/>
            <w:r>
              <w:rPr>
                <w:rFonts w:asciiTheme="minorHAnsi" w:hAnsiTheme="minorHAnsi" w:cstheme="minorHAnsi"/>
                <w:sz w:val="22"/>
                <w:szCs w:val="22"/>
              </w:rPr>
              <w:t>auditabilité</w:t>
            </w:r>
            <w:proofErr w:type="spellEnd"/>
            <w:r>
              <w:rPr>
                <w:rFonts w:asciiTheme="minorHAnsi" w:hAnsiTheme="minorHAnsi" w:cstheme="minorHAnsi"/>
                <w:sz w:val="22"/>
                <w:szCs w:val="22"/>
              </w:rPr>
              <w:t>)</w:t>
            </w:r>
          </w:p>
        </w:tc>
        <w:tc>
          <w:tcPr>
            <w:tcW w:w="0" w:type="auto"/>
            <w:vAlign w:val="center"/>
          </w:tcPr>
          <w:p w14:paraId="2F179D39"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Réduction du risque de double comptage et amélioration de la crédibilité internationale</w:t>
            </w:r>
          </w:p>
        </w:tc>
        <w:tc>
          <w:tcPr>
            <w:tcW w:w="0" w:type="auto"/>
            <w:vAlign w:val="center"/>
          </w:tcPr>
          <w:p w14:paraId="37F76455" w14:textId="77777777" w:rsidR="00401C82" w:rsidRDefault="00000000">
            <w:pPr>
              <w:rPr>
                <w:rFonts w:asciiTheme="minorHAnsi" w:hAnsiTheme="minorHAnsi" w:cstheme="minorBidi"/>
                <w:sz w:val="22"/>
                <w:szCs w:val="22"/>
              </w:rPr>
            </w:pPr>
            <w:r>
              <w:rPr>
                <w:rFonts w:asciiTheme="minorHAnsi" w:hAnsiTheme="minorHAnsi" w:cstheme="minorBidi"/>
                <w:sz w:val="22"/>
                <w:szCs w:val="22"/>
              </w:rPr>
              <w:t>Livrable validé ; rapport test pilote ; supports de formation ; listes de présence</w:t>
            </w:r>
          </w:p>
        </w:tc>
      </w:tr>
      <w:tr w:rsidR="00401C82" w14:paraId="7108A032" w14:textId="77777777">
        <w:trPr>
          <w:tblCellSpacing w:w="15" w:type="dxa"/>
        </w:trPr>
        <w:tc>
          <w:tcPr>
            <w:tcW w:w="0" w:type="auto"/>
            <w:vAlign w:val="center"/>
          </w:tcPr>
          <w:p w14:paraId="6E990B3E"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 xml:space="preserve">Business case + modèle financier + </w:t>
            </w:r>
            <w:proofErr w:type="spellStart"/>
            <w:r>
              <w:rPr>
                <w:rFonts w:asciiTheme="minorHAnsi" w:hAnsiTheme="minorHAnsi" w:cstheme="minorHAnsi"/>
                <w:sz w:val="22"/>
                <w:szCs w:val="22"/>
              </w:rPr>
              <w:t>term-sheet</w:t>
            </w:r>
            <w:proofErr w:type="spellEnd"/>
            <w:r>
              <w:rPr>
                <w:rFonts w:asciiTheme="minorHAnsi" w:hAnsiTheme="minorHAnsi" w:cstheme="minorHAnsi"/>
                <w:sz w:val="22"/>
                <w:szCs w:val="22"/>
              </w:rPr>
              <w:t xml:space="preserve"> + plan capitalisation</w:t>
            </w:r>
          </w:p>
        </w:tc>
        <w:tc>
          <w:tcPr>
            <w:tcW w:w="0" w:type="auto"/>
            <w:vAlign w:val="center"/>
          </w:tcPr>
          <w:p w14:paraId="00513666"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Faisabilité économique et cadre de structuration de transaction</w:t>
            </w:r>
          </w:p>
        </w:tc>
        <w:tc>
          <w:tcPr>
            <w:tcW w:w="0" w:type="auto"/>
            <w:vAlign w:val="center"/>
          </w:tcPr>
          <w:p w14:paraId="46A097AF"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Attractivité accrue pour bailleurs/acheteurs et structuration de pipeline bancable</w:t>
            </w:r>
          </w:p>
        </w:tc>
        <w:tc>
          <w:tcPr>
            <w:tcW w:w="0" w:type="auto"/>
            <w:vAlign w:val="center"/>
          </w:tcPr>
          <w:p w14:paraId="19E7E9FF" w14:textId="77777777" w:rsidR="00401C82" w:rsidRDefault="00000000">
            <w:pPr>
              <w:rPr>
                <w:rFonts w:asciiTheme="minorHAnsi" w:hAnsiTheme="minorHAnsi" w:cstheme="minorBidi"/>
                <w:sz w:val="22"/>
                <w:szCs w:val="22"/>
              </w:rPr>
            </w:pPr>
            <w:r>
              <w:rPr>
                <w:rFonts w:asciiTheme="minorHAnsi" w:hAnsiTheme="minorHAnsi" w:cstheme="minorBidi"/>
                <w:sz w:val="22"/>
                <w:szCs w:val="22"/>
              </w:rPr>
              <w:t xml:space="preserve">Livrable validé ; modèle auditable ; </w:t>
            </w:r>
            <w:proofErr w:type="spellStart"/>
            <w:r>
              <w:rPr>
                <w:rFonts w:asciiTheme="minorHAnsi" w:hAnsiTheme="minorHAnsi" w:cstheme="minorBidi"/>
                <w:sz w:val="22"/>
                <w:szCs w:val="22"/>
              </w:rPr>
              <w:t>term-sheet</w:t>
            </w:r>
            <w:proofErr w:type="spellEnd"/>
            <w:r>
              <w:rPr>
                <w:rFonts w:asciiTheme="minorHAnsi" w:hAnsiTheme="minorHAnsi" w:cstheme="minorBidi"/>
                <w:sz w:val="22"/>
                <w:szCs w:val="22"/>
              </w:rPr>
              <w:t xml:space="preserve"> modifiable ; plan FHB</w:t>
            </w:r>
          </w:p>
        </w:tc>
      </w:tr>
      <w:tr w:rsidR="00401C82" w14:paraId="5E0D3FC3" w14:textId="77777777">
        <w:trPr>
          <w:tblCellSpacing w:w="15" w:type="dxa"/>
        </w:trPr>
        <w:tc>
          <w:tcPr>
            <w:tcW w:w="0" w:type="auto"/>
            <w:vAlign w:val="center"/>
          </w:tcPr>
          <w:p w14:paraId="72F67FB8"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Dossier final d’appropriation + matrice “premiers crédits avant 2030”</w:t>
            </w:r>
          </w:p>
        </w:tc>
        <w:tc>
          <w:tcPr>
            <w:tcW w:w="0" w:type="auto"/>
            <w:vAlign w:val="center"/>
          </w:tcPr>
          <w:p w14:paraId="758EA2DD"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Transfert de compétences et plan opérationnel</w:t>
            </w:r>
          </w:p>
        </w:tc>
        <w:tc>
          <w:tcPr>
            <w:tcW w:w="0" w:type="auto"/>
            <w:vAlign w:val="center"/>
          </w:tcPr>
          <w:p w14:paraId="7C0ADD36"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Passage accéléré en phase suivante (pré-PDD/PDD, vérification, engagement acheteurs)</w:t>
            </w:r>
          </w:p>
        </w:tc>
        <w:tc>
          <w:tcPr>
            <w:tcW w:w="0" w:type="auto"/>
            <w:vAlign w:val="center"/>
          </w:tcPr>
          <w:p w14:paraId="47D5543B" w14:textId="77777777" w:rsidR="00401C82" w:rsidRDefault="00000000">
            <w:pPr>
              <w:rPr>
                <w:rFonts w:asciiTheme="minorHAnsi" w:hAnsiTheme="minorHAnsi" w:cstheme="minorBidi"/>
                <w:sz w:val="22"/>
                <w:szCs w:val="22"/>
              </w:rPr>
            </w:pPr>
            <w:r>
              <w:rPr>
                <w:rFonts w:asciiTheme="minorHAnsi" w:hAnsiTheme="minorHAnsi" w:cstheme="minorBidi"/>
                <w:sz w:val="22"/>
                <w:szCs w:val="22"/>
              </w:rPr>
              <w:t>Livrable validé supports ; matrice ; CR ; recommandations</w:t>
            </w:r>
          </w:p>
        </w:tc>
      </w:tr>
      <w:tr w:rsidR="00401C82" w14:paraId="363645C9" w14:textId="77777777">
        <w:trPr>
          <w:tblCellSpacing w:w="15" w:type="dxa"/>
        </w:trPr>
        <w:tc>
          <w:tcPr>
            <w:tcW w:w="0" w:type="auto"/>
            <w:vAlign w:val="center"/>
          </w:tcPr>
          <w:p w14:paraId="3D53FDFF"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Rapport final</w:t>
            </w:r>
          </w:p>
        </w:tc>
        <w:tc>
          <w:tcPr>
            <w:tcW w:w="0" w:type="auto"/>
            <w:vAlign w:val="center"/>
          </w:tcPr>
          <w:p w14:paraId="5A43F787"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Consolidation et archivage des outils et décisions</w:t>
            </w:r>
          </w:p>
        </w:tc>
        <w:tc>
          <w:tcPr>
            <w:tcW w:w="0" w:type="auto"/>
            <w:vAlign w:val="center"/>
          </w:tcPr>
          <w:p w14:paraId="7C7BD25A" w14:textId="77777777" w:rsidR="00401C82" w:rsidRDefault="00000000">
            <w:pPr>
              <w:rPr>
                <w:rFonts w:asciiTheme="minorHAnsi" w:hAnsiTheme="minorHAnsi" w:cstheme="minorHAnsi"/>
                <w:sz w:val="22"/>
                <w:szCs w:val="22"/>
              </w:rPr>
            </w:pPr>
            <w:r>
              <w:rPr>
                <w:rFonts w:asciiTheme="minorHAnsi" w:hAnsiTheme="minorHAnsi" w:cstheme="minorHAnsi"/>
                <w:sz w:val="22"/>
                <w:szCs w:val="22"/>
              </w:rPr>
              <w:t>Continuité institutionnelle et réutilisation des livrables</w:t>
            </w:r>
          </w:p>
        </w:tc>
        <w:tc>
          <w:tcPr>
            <w:tcW w:w="0" w:type="auto"/>
            <w:vAlign w:val="center"/>
          </w:tcPr>
          <w:p w14:paraId="3541BE82" w14:textId="77777777" w:rsidR="00401C82" w:rsidRDefault="00000000">
            <w:pPr>
              <w:rPr>
                <w:rFonts w:asciiTheme="minorHAnsi" w:hAnsiTheme="minorHAnsi" w:cstheme="minorBidi"/>
                <w:sz w:val="22"/>
                <w:szCs w:val="22"/>
              </w:rPr>
            </w:pPr>
            <w:r>
              <w:rPr>
                <w:rFonts w:asciiTheme="minorHAnsi" w:hAnsiTheme="minorHAnsi" w:cstheme="minorBidi"/>
                <w:sz w:val="22"/>
                <w:szCs w:val="22"/>
              </w:rPr>
              <w:t>Livrable validé ; dépôt numérique ; versioning</w:t>
            </w:r>
          </w:p>
        </w:tc>
      </w:tr>
    </w:tbl>
    <w:p w14:paraId="5B201193" w14:textId="77777777" w:rsidR="00401C82" w:rsidRDefault="00401C82">
      <w:pPr>
        <w:rPr>
          <w:rFonts w:asciiTheme="minorHAnsi" w:hAnsiTheme="minorHAnsi" w:cstheme="minorHAnsi"/>
          <w:sz w:val="22"/>
          <w:szCs w:val="22"/>
        </w:rPr>
      </w:pPr>
    </w:p>
    <w:p w14:paraId="784F2145" w14:textId="77777777" w:rsidR="00401C82" w:rsidRDefault="00000000">
      <w:pPr>
        <w:numPr>
          <w:ilvl w:val="0"/>
          <w:numId w:val="31"/>
        </w:numPr>
        <w:shd w:val="clear" w:color="auto" w:fill="E6E6E6"/>
        <w:tabs>
          <w:tab w:val="clear" w:pos="720"/>
          <w:tab w:val="num" w:pos="180"/>
        </w:tabs>
        <w:ind w:left="180"/>
        <w:rPr>
          <w:rFonts w:asciiTheme="minorHAnsi" w:eastAsia="Arial Unicode MS" w:hAnsiTheme="minorHAnsi" w:cstheme="minorBidi"/>
          <w:b/>
          <w:bCs/>
          <w:sz w:val="22"/>
          <w:szCs w:val="22"/>
          <w:lang w:eastAsia="en-US"/>
        </w:rPr>
      </w:pPr>
      <w:r>
        <w:rPr>
          <w:rFonts w:asciiTheme="minorHAnsi" w:eastAsia="Arial Unicode MS" w:hAnsiTheme="minorHAnsi" w:cstheme="minorBidi"/>
          <w:b/>
          <w:bCs/>
          <w:sz w:val="22"/>
          <w:szCs w:val="22"/>
          <w:lang w:eastAsia="en-US"/>
        </w:rPr>
        <w:t xml:space="preserve">Information Pratique </w:t>
      </w:r>
    </w:p>
    <w:p w14:paraId="0EBC515A" w14:textId="77777777" w:rsidR="00401C82" w:rsidRDefault="00401C82">
      <w:pPr>
        <w:rPr>
          <w:rFonts w:asciiTheme="minorHAnsi" w:hAnsiTheme="minorHAnsi" w:cstheme="minorBidi"/>
          <w:sz w:val="22"/>
          <w:szCs w:val="22"/>
        </w:rPr>
      </w:pPr>
    </w:p>
    <w:p w14:paraId="698991C8" w14:textId="77777777" w:rsidR="00401C82" w:rsidRDefault="00000000">
      <w:pPr>
        <w:numPr>
          <w:ilvl w:val="0"/>
          <w:numId w:val="16"/>
        </w:numPr>
        <w:spacing w:line="259" w:lineRule="auto"/>
        <w:rPr>
          <w:rFonts w:ascii="Calibri" w:hAnsi="Calibri" w:cs="Calibri"/>
          <w:sz w:val="22"/>
          <w:szCs w:val="22"/>
        </w:rPr>
      </w:pPr>
      <w:r>
        <w:rPr>
          <w:rFonts w:ascii="Calibri" w:hAnsi="Calibri" w:cs="Calibri"/>
          <w:b/>
          <w:bCs/>
          <w:sz w:val="22"/>
          <w:szCs w:val="22"/>
        </w:rPr>
        <w:lastRenderedPageBreak/>
        <w:t>Langues de la mission :</w:t>
      </w:r>
      <w:r>
        <w:rPr>
          <w:rFonts w:ascii="Calibri" w:hAnsi="Calibri" w:cs="Calibri"/>
          <w:sz w:val="22"/>
          <w:szCs w:val="22"/>
        </w:rPr>
        <w:t xml:space="preserve"> Français et Anglais</w:t>
      </w:r>
    </w:p>
    <w:p w14:paraId="5DAA8650" w14:textId="38DB816A" w:rsidR="00401C82" w:rsidRDefault="00000000">
      <w:pPr>
        <w:numPr>
          <w:ilvl w:val="0"/>
          <w:numId w:val="16"/>
        </w:numPr>
        <w:rPr>
          <w:rFonts w:ascii="Calibri" w:hAnsi="Calibri" w:cs="Calibri"/>
          <w:b/>
          <w:bCs/>
          <w:sz w:val="22"/>
          <w:szCs w:val="22"/>
          <w:u w:val="single"/>
        </w:rPr>
      </w:pPr>
      <w:r>
        <w:rPr>
          <w:rFonts w:ascii="Calibri" w:hAnsi="Calibri" w:cs="Calibri"/>
          <w:sz w:val="22"/>
          <w:szCs w:val="22"/>
        </w:rPr>
        <w:t xml:space="preserve">La proposition technique soumise par le cabinet de conseil ne devra pas dépasser </w:t>
      </w:r>
      <w:r>
        <w:rPr>
          <w:rFonts w:ascii="Calibri" w:hAnsi="Calibri" w:cs="Calibri"/>
          <w:b/>
          <w:bCs/>
          <w:sz w:val="22"/>
          <w:szCs w:val="22"/>
          <w:u w:val="single"/>
        </w:rPr>
        <w:t>trente (30)</w:t>
      </w:r>
      <w:r w:rsidR="002E07DE">
        <w:rPr>
          <w:rFonts w:ascii="Calibri" w:hAnsi="Calibri" w:cs="Calibri"/>
          <w:b/>
          <w:bCs/>
          <w:sz w:val="22"/>
          <w:szCs w:val="22"/>
          <w:u w:val="single"/>
        </w:rPr>
        <w:t xml:space="preserve"> ou tre</w:t>
      </w:r>
      <w:r w:rsidR="001654C8">
        <w:rPr>
          <w:rFonts w:ascii="Calibri" w:hAnsi="Calibri" w:cs="Calibri"/>
          <w:b/>
          <w:bCs/>
          <w:sz w:val="22"/>
          <w:szCs w:val="22"/>
          <w:u w:val="single"/>
        </w:rPr>
        <w:t>n</w:t>
      </w:r>
      <w:r w:rsidR="002E07DE">
        <w:rPr>
          <w:rFonts w:ascii="Calibri" w:hAnsi="Calibri" w:cs="Calibri"/>
          <w:b/>
          <w:bCs/>
          <w:sz w:val="22"/>
          <w:szCs w:val="22"/>
          <w:u w:val="single"/>
        </w:rPr>
        <w:t>te-cinq (35)</w:t>
      </w:r>
      <w:r>
        <w:rPr>
          <w:rFonts w:ascii="Calibri" w:hAnsi="Calibri" w:cs="Calibri"/>
          <w:b/>
          <w:bCs/>
          <w:sz w:val="22"/>
          <w:szCs w:val="22"/>
          <w:u w:val="single"/>
        </w:rPr>
        <w:t xml:space="preserve"> pages, hors annexes.</w:t>
      </w:r>
    </w:p>
    <w:p w14:paraId="71EF910A" w14:textId="77777777" w:rsidR="00401C82" w:rsidRDefault="00000000">
      <w:pPr>
        <w:numPr>
          <w:ilvl w:val="0"/>
          <w:numId w:val="16"/>
        </w:numPr>
        <w:spacing w:line="259" w:lineRule="auto"/>
        <w:jc w:val="both"/>
        <w:rPr>
          <w:rFonts w:ascii="Calibri" w:hAnsi="Calibri" w:cs="Calibri"/>
          <w:sz w:val="22"/>
          <w:szCs w:val="22"/>
        </w:rPr>
      </w:pPr>
      <w:r>
        <w:rPr>
          <w:rFonts w:ascii="Calibri" w:hAnsi="Calibri" w:cs="Calibri"/>
          <w:sz w:val="22"/>
          <w:szCs w:val="22"/>
        </w:rPr>
        <w:t>L’ensemble des déplacements sera pris en charge par le prestataire de services et</w:t>
      </w:r>
      <w:r>
        <w:rPr>
          <w:rFonts w:ascii="Calibri" w:hAnsi="Calibri" w:cs="Calibri"/>
          <w:sz w:val="22"/>
          <w:szCs w:val="22"/>
          <w:u w:val="single"/>
        </w:rPr>
        <w:t xml:space="preserve"> inclus dans sa proposition financière.</w:t>
      </w:r>
      <w:r>
        <w:rPr>
          <w:rFonts w:ascii="Calibri" w:hAnsi="Calibri" w:cs="Calibri"/>
          <w:sz w:val="22"/>
          <w:szCs w:val="22"/>
        </w:rPr>
        <w:t xml:space="preserve"> Les experts demeurent seuls responsables de l’organisation de leurs déplacements, hébergement, transport, assurances, communications et frais d’accès à Internet.</w:t>
      </w:r>
    </w:p>
    <w:p w14:paraId="0E9C0EA4" w14:textId="77777777" w:rsidR="00401C82" w:rsidRDefault="00000000">
      <w:pPr>
        <w:numPr>
          <w:ilvl w:val="0"/>
          <w:numId w:val="16"/>
        </w:numPr>
        <w:jc w:val="both"/>
        <w:rPr>
          <w:rFonts w:ascii="Calibri" w:hAnsi="Calibri" w:cs="Calibri"/>
          <w:sz w:val="22"/>
          <w:szCs w:val="22"/>
        </w:rPr>
      </w:pPr>
      <w:r>
        <w:rPr>
          <w:rFonts w:ascii="Calibri" w:hAnsi="Calibri" w:cs="Calibri"/>
          <w:sz w:val="22"/>
          <w:szCs w:val="22"/>
        </w:rPr>
        <w:t>Le Gouvernement d’Haïti facilitera, le cas échéant, l’organisation de réunions avec les parties prenantes.</w:t>
      </w:r>
    </w:p>
    <w:p w14:paraId="13EA7389" w14:textId="77777777" w:rsidR="00401C82" w:rsidRDefault="00000000">
      <w:pPr>
        <w:numPr>
          <w:ilvl w:val="0"/>
          <w:numId w:val="16"/>
        </w:numPr>
        <w:jc w:val="both"/>
        <w:rPr>
          <w:rFonts w:ascii="Calibri" w:hAnsi="Calibri" w:cs="Calibri"/>
          <w:sz w:val="22"/>
          <w:szCs w:val="22"/>
        </w:rPr>
      </w:pPr>
      <w:r>
        <w:rPr>
          <w:rFonts w:ascii="Calibri" w:hAnsi="Calibri" w:cs="Calibri"/>
          <w:sz w:val="22"/>
          <w:szCs w:val="22"/>
        </w:rPr>
        <w:t>Le Gouvernement d’Haïti apportera son assistance pour l’obtention des documents nécessaires à l’entrée et au travail en Haïti.</w:t>
      </w:r>
    </w:p>
    <w:p w14:paraId="245F0CF6" w14:textId="77777777" w:rsidR="00401C82" w:rsidRDefault="00000000">
      <w:pPr>
        <w:numPr>
          <w:ilvl w:val="0"/>
          <w:numId w:val="16"/>
        </w:numPr>
        <w:jc w:val="both"/>
        <w:rPr>
          <w:rFonts w:ascii="Calibri" w:hAnsi="Calibri" w:cs="Calibri"/>
          <w:sz w:val="22"/>
          <w:szCs w:val="22"/>
        </w:rPr>
      </w:pPr>
      <w:r>
        <w:rPr>
          <w:rFonts w:ascii="Calibri" w:hAnsi="Calibri" w:cs="Calibri"/>
          <w:sz w:val="22"/>
          <w:szCs w:val="22"/>
        </w:rPr>
        <w:t xml:space="preserve">Pendant la mise en œuvre de la mission, la visibilité de l’Union européenne en tant que bailleur du programme </w:t>
      </w:r>
      <w:proofErr w:type="spellStart"/>
      <w:r>
        <w:rPr>
          <w:rFonts w:ascii="Calibri" w:hAnsi="Calibri" w:cs="Calibri"/>
          <w:sz w:val="22"/>
          <w:szCs w:val="22"/>
        </w:rPr>
        <w:t>Euroclima</w:t>
      </w:r>
      <w:proofErr w:type="spellEnd"/>
      <w:r>
        <w:rPr>
          <w:rFonts w:ascii="Calibri" w:hAnsi="Calibri" w:cs="Calibri"/>
          <w:sz w:val="22"/>
          <w:szCs w:val="22"/>
        </w:rPr>
        <w:t xml:space="preserve"> devra être assurée conformément aux règles de communication et de visibilité du programme </w:t>
      </w:r>
      <w:proofErr w:type="spellStart"/>
      <w:r>
        <w:rPr>
          <w:rFonts w:ascii="Calibri" w:hAnsi="Calibri" w:cs="Calibri"/>
          <w:sz w:val="22"/>
          <w:szCs w:val="22"/>
        </w:rPr>
        <w:t>Euroclima</w:t>
      </w:r>
      <w:proofErr w:type="spellEnd"/>
      <w:r>
        <w:rPr>
          <w:rFonts w:ascii="Calibri" w:hAnsi="Calibri" w:cs="Calibri"/>
          <w:sz w:val="22"/>
          <w:szCs w:val="22"/>
        </w:rPr>
        <w:t xml:space="preserve">, en tenant compte des exigences de l’Union européenne en matière de communication et de visibilité :  </w:t>
      </w:r>
      <w:hyperlink r:id="rId15" w:tooltip="https://international-partnershi.ec.europa.eu/knowledge-hub/communicating-and-raising-eu-visibility-guidance-external-actions_en" w:history="1">
        <w:r w:rsidR="00401C82">
          <w:rPr>
            <w:rStyle w:val="Lienhypertexte"/>
            <w:rFonts w:ascii="Calibri" w:hAnsi="Calibri" w:cs="Calibri"/>
            <w:sz w:val="22"/>
            <w:szCs w:val="22"/>
          </w:rPr>
          <w:t>https://international-partnershi.ec.europa.eu/knowledge-hub/communicating-and-raising-eu-visibility-guidance-external-actions_en</w:t>
        </w:r>
      </w:hyperlink>
    </w:p>
    <w:p w14:paraId="6D810A10" w14:textId="77777777" w:rsidR="00401C82" w:rsidRDefault="00000000">
      <w:pPr>
        <w:numPr>
          <w:ilvl w:val="0"/>
          <w:numId w:val="16"/>
        </w:numPr>
        <w:jc w:val="both"/>
        <w:rPr>
          <w:rFonts w:ascii="Calibri" w:hAnsi="Calibri" w:cs="Calibri"/>
          <w:sz w:val="22"/>
          <w:szCs w:val="22"/>
        </w:rPr>
      </w:pPr>
      <w:r>
        <w:rPr>
          <w:rFonts w:ascii="Calibri" w:hAnsi="Calibri" w:cs="Calibri"/>
          <w:sz w:val="22"/>
          <w:szCs w:val="22"/>
        </w:rPr>
        <w:t xml:space="preserve">Tous les rapports et livrables devront inclure l’emblème de l’Union européenne (accompagné de la mention « Financé par l’Union européenne »), les logos du programme </w:t>
      </w:r>
      <w:proofErr w:type="spellStart"/>
      <w:r>
        <w:rPr>
          <w:rFonts w:ascii="Calibri" w:hAnsi="Calibri" w:cs="Calibri"/>
          <w:sz w:val="22"/>
          <w:szCs w:val="22"/>
        </w:rPr>
        <w:t>Euroclima</w:t>
      </w:r>
      <w:proofErr w:type="spellEnd"/>
      <w:r>
        <w:rPr>
          <w:rFonts w:ascii="Calibri" w:hAnsi="Calibri" w:cs="Calibri"/>
          <w:sz w:val="22"/>
          <w:szCs w:val="22"/>
        </w:rPr>
        <w:t xml:space="preserve"> et d’Expertise France, les logos du Ministère de l’Environnement, du Bureau de l’Ordonnateur National, ainsi que la clause de non-responsabilité suivante : « Cette publication a été réalisée avec le soutien financier de l’Union européenne. Son contenu relève de la seule responsabilité de &lt;nom de l’auteur/partenaire&gt; et ne reflète pas nécessairement les opinions de l’Union européenne ni celles du Ministère de l’Environnement ni du Bureau de l’Ordonnateur National du gouvernement d’Haïti ». Une validation de la charte graphique par Expertise France sera nécessaire. </w:t>
      </w:r>
    </w:p>
    <w:p w14:paraId="0A6BF9B5" w14:textId="77777777" w:rsidR="00401C82" w:rsidRDefault="00401C82">
      <w:pPr>
        <w:rPr>
          <w:rFonts w:asciiTheme="minorHAnsi" w:hAnsiTheme="minorHAnsi" w:cstheme="minorBidi"/>
          <w:sz w:val="22"/>
          <w:szCs w:val="22"/>
        </w:rPr>
      </w:pPr>
    </w:p>
    <w:p w14:paraId="6B574BD3" w14:textId="77777777" w:rsidR="00401C82" w:rsidRDefault="00401C82">
      <w:pPr>
        <w:rPr>
          <w:rFonts w:asciiTheme="minorHAnsi" w:hAnsiTheme="minorHAnsi" w:cstheme="minorHAnsi"/>
          <w:sz w:val="22"/>
          <w:szCs w:val="22"/>
        </w:rPr>
      </w:pPr>
    </w:p>
    <w:sectPr w:rsidR="00401C82">
      <w:headerReference w:type="even" r:id="rId16"/>
      <w:headerReference w:type="default" r:id="rId17"/>
      <w:footerReference w:type="even" r:id="rId18"/>
      <w:footerReference w:type="default" r:id="rId19"/>
      <w:headerReference w:type="first" r:id="rId20"/>
      <w:footerReference w:type="first" r:id="rId21"/>
      <w:pgSz w:w="11906" w:h="16838"/>
      <w:pgMar w:top="1977" w:right="1417" w:bottom="1417" w:left="1417" w:header="708" w:footer="48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1C2E5" w14:textId="77777777" w:rsidR="007D3A34" w:rsidRDefault="007D3A34">
      <w:r>
        <w:separator/>
      </w:r>
    </w:p>
  </w:endnote>
  <w:endnote w:type="continuationSeparator" w:id="0">
    <w:p w14:paraId="76B4A3AC" w14:textId="77777777" w:rsidR="007D3A34" w:rsidRDefault="007D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AE2C" w14:textId="77777777" w:rsidR="00401C82" w:rsidRDefault="000000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42AB217" w14:textId="77777777" w:rsidR="00401C82" w:rsidRDefault="00401C8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C391" w14:textId="77777777" w:rsidR="00401C82" w:rsidRDefault="00000000">
    <w:pPr>
      <w:pStyle w:val="Pieddepage"/>
      <w:framePr w:wrap="around" w:vAnchor="text" w:hAnchor="margin" w:xAlign="right" w:y="1"/>
      <w:rPr>
        <w:rStyle w:val="Numrodepage"/>
        <w:rFonts w:ascii="Calibri" w:hAnsi="Calibri"/>
        <w:sz w:val="20"/>
        <w:szCs w:val="20"/>
      </w:rPr>
    </w:pPr>
    <w:r>
      <w:rPr>
        <w:rStyle w:val="Numrodepage"/>
        <w:rFonts w:ascii="Calibri" w:hAnsi="Calibri"/>
        <w:sz w:val="20"/>
        <w:szCs w:val="20"/>
      </w:rPr>
      <w:fldChar w:fldCharType="begin"/>
    </w:r>
    <w:r>
      <w:rPr>
        <w:rStyle w:val="Numrodepage"/>
        <w:rFonts w:ascii="Calibri" w:hAnsi="Calibri"/>
        <w:sz w:val="20"/>
        <w:szCs w:val="20"/>
      </w:rPr>
      <w:instrText xml:space="preserve">PAGE  </w:instrText>
    </w:r>
    <w:r>
      <w:rPr>
        <w:rStyle w:val="Numrodepage"/>
        <w:rFonts w:ascii="Calibri" w:hAnsi="Calibri"/>
        <w:sz w:val="20"/>
        <w:szCs w:val="20"/>
      </w:rPr>
      <w:fldChar w:fldCharType="separate"/>
    </w:r>
    <w:r>
      <w:rPr>
        <w:rStyle w:val="Numrodepage"/>
        <w:rFonts w:ascii="Calibri" w:hAnsi="Calibri"/>
        <w:sz w:val="20"/>
        <w:szCs w:val="20"/>
      </w:rPr>
      <w:t>12</w:t>
    </w:r>
    <w:r>
      <w:rPr>
        <w:rStyle w:val="Numrodepage"/>
        <w:rFonts w:ascii="Calibri" w:hAnsi="Calibri"/>
        <w:sz w:val="20"/>
        <w:szCs w:val="20"/>
      </w:rPr>
      <w:fldChar w:fldCharType="end"/>
    </w:r>
  </w:p>
  <w:p w14:paraId="08DF4681" w14:textId="77777777" w:rsidR="00401C82" w:rsidRDefault="00000000">
    <w:pPr>
      <w:pStyle w:val="Pieddepage"/>
      <w:tabs>
        <w:tab w:val="clear" w:pos="4536"/>
      </w:tabs>
      <w:rPr>
        <w:rFonts w:asciiTheme="minorHAnsi" w:hAnsiTheme="minorHAnsi"/>
        <w:sz w:val="22"/>
      </w:rPr>
    </w:pPr>
    <w:r>
      <w:rPr>
        <w:rFonts w:asciiTheme="minorHAnsi" w:hAnsiTheme="minorHAnsi"/>
        <w:sz w:val="22"/>
      </w:rPr>
      <w:t>Ref : DAJ_M003_v02, Juin 2021</w:t>
    </w:r>
  </w:p>
  <w:p w14:paraId="78A07883" w14:textId="77777777" w:rsidR="00401C82" w:rsidRDefault="00000000">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Pr>
        <w:rFonts w:asciiTheme="minorHAnsi" w:hAnsiTheme="minorHAnsi"/>
        <w:sz w:val="16"/>
        <w:szCs w:val="16"/>
      </w:rPr>
      <w:br/>
    </w:r>
    <w:r>
      <w:rPr>
        <w:rFonts w:asciiTheme="minorHAnsi" w:hAnsiTheme="minorHAnsi" w:cs="Arial"/>
        <w:sz w:val="16"/>
        <w:szCs w:val="16"/>
      </w:rPr>
      <w:t>SIRET : 808 734 792 – 40 Boulevard de Port-Royal, 75005 PARIS– France</w:t>
    </w:r>
  </w:p>
  <w:p w14:paraId="3F3C2C85" w14:textId="77777777" w:rsidR="00401C82" w:rsidRDefault="00401C8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4087" w14:textId="77777777" w:rsidR="00401C82" w:rsidRDefault="00000000">
    <w:pPr>
      <w:pStyle w:val="Pieddepage"/>
      <w:tabs>
        <w:tab w:val="clear" w:pos="4536"/>
      </w:tabs>
      <w:rPr>
        <w:rFonts w:asciiTheme="minorHAnsi" w:hAnsiTheme="minorHAnsi"/>
        <w:sz w:val="22"/>
      </w:rPr>
    </w:pPr>
    <w:r>
      <w:rPr>
        <w:rFonts w:asciiTheme="minorHAnsi" w:hAnsiTheme="minorHAnsi"/>
        <w:sz w:val="22"/>
      </w:rPr>
      <w:t xml:space="preserve">Ref : </w:t>
    </w:r>
    <w:r>
      <w:rPr>
        <w:rFonts w:asciiTheme="minorHAnsi" w:hAnsiTheme="minorHAnsi"/>
        <w:sz w:val="20"/>
        <w:szCs w:val="20"/>
      </w:rPr>
      <w:t>DAJ_M003_v02, Juin 2021</w:t>
    </w:r>
  </w:p>
  <w:p w14:paraId="2BFF5568" w14:textId="77777777" w:rsidR="00401C82" w:rsidRDefault="00000000">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Pr>
        <w:rFonts w:asciiTheme="minorHAnsi" w:hAnsiTheme="minorHAnsi"/>
        <w:sz w:val="16"/>
        <w:szCs w:val="16"/>
      </w:rPr>
      <w:br/>
    </w:r>
    <w:r>
      <w:rPr>
        <w:rFonts w:asciiTheme="minorHAnsi" w:hAnsiTheme="minorHAnsi" w:cs="Arial"/>
        <w:sz w:val="16"/>
        <w:szCs w:val="16"/>
      </w:rPr>
      <w:t>SIRET : 808 734 792 – 40 Boulevard de Port-Royal, 75005 PARIS– France</w:t>
    </w:r>
  </w:p>
  <w:p w14:paraId="7D7C52DD" w14:textId="77777777" w:rsidR="00401C82" w:rsidRDefault="00000000">
    <w:pPr>
      <w:pStyle w:val="Pieddepage"/>
      <w:tabs>
        <w:tab w:val="clear" w:pos="4536"/>
      </w:tabs>
      <w:rPr>
        <w:rFonts w:asciiTheme="minorHAnsi" w:hAnsiTheme="minorHAnsi"/>
        <w:sz w:val="22"/>
      </w:rPr>
    </w:pPr>
    <w:r>
      <w:rPr>
        <w:rFonts w:asciiTheme="minorHAnsi" w:hAnsiTheme="minorHAnsi"/>
        <w:sz w:val="22"/>
      </w:rPr>
      <w:tab/>
      <w:t xml:space="preserve">  </w:t>
    </w:r>
    <w:sdt>
      <w:sdtPr>
        <w:rPr>
          <w:rFonts w:asciiTheme="minorHAnsi" w:hAnsiTheme="minorHAnsi"/>
          <w:sz w:val="22"/>
        </w:rPr>
        <w:id w:val="1539232924"/>
        <w:docPartObj>
          <w:docPartGallery w:val="Page Numbers (Bottom of Page)"/>
          <w:docPartUnique/>
        </w:docPartObj>
      </w:sdtPr>
      <w:sdtContent>
        <w:sdt>
          <w:sdtPr>
            <w:rPr>
              <w:rFonts w:asciiTheme="minorHAnsi" w:hAnsiTheme="minorHAnsi"/>
              <w:sz w:val="22"/>
            </w:rPr>
            <w:id w:val="-1769616900"/>
            <w:docPartObj>
              <w:docPartGallery w:val="Page Numbers (Top of Page)"/>
              <w:docPartUnique/>
            </w:docPartObj>
          </w:sdtPr>
          <w:sdtContent>
            <w:r>
              <w:rPr>
                <w:rFonts w:asciiTheme="minorHAnsi" w:hAnsiTheme="minorHAnsi"/>
                <w:sz w:val="22"/>
              </w:rPr>
              <w:t xml:space="preserve">Page </w:t>
            </w:r>
            <w:r>
              <w:rPr>
                <w:rFonts w:asciiTheme="minorHAnsi" w:hAnsiTheme="minorHAnsi"/>
                <w:b/>
                <w:bCs/>
                <w:sz w:val="22"/>
              </w:rPr>
              <w:fldChar w:fldCharType="begin"/>
            </w:r>
            <w:r>
              <w:rPr>
                <w:rFonts w:asciiTheme="minorHAnsi" w:hAnsiTheme="minorHAnsi"/>
                <w:b/>
                <w:bCs/>
                <w:sz w:val="22"/>
              </w:rPr>
              <w:instrText>PAGE</w:instrText>
            </w:r>
            <w:r>
              <w:rPr>
                <w:rFonts w:asciiTheme="minorHAnsi" w:hAnsiTheme="minorHAnsi"/>
                <w:b/>
                <w:bCs/>
                <w:sz w:val="22"/>
              </w:rPr>
              <w:fldChar w:fldCharType="separate"/>
            </w:r>
            <w:r>
              <w:rPr>
                <w:rFonts w:asciiTheme="minorHAnsi" w:hAnsiTheme="minorHAnsi"/>
                <w:b/>
                <w:bCs/>
                <w:sz w:val="22"/>
              </w:rPr>
              <w:t>1</w:t>
            </w:r>
            <w:r>
              <w:rPr>
                <w:rFonts w:asciiTheme="minorHAnsi" w:hAnsiTheme="minorHAnsi"/>
                <w:b/>
                <w:bCs/>
                <w:sz w:val="22"/>
              </w:rPr>
              <w:fldChar w:fldCharType="end"/>
            </w:r>
            <w:r>
              <w:rPr>
                <w:rFonts w:asciiTheme="minorHAnsi" w:hAnsiTheme="minorHAnsi"/>
                <w:sz w:val="22"/>
              </w:rPr>
              <w:t xml:space="preserve"> sur </w:t>
            </w:r>
            <w:r>
              <w:rPr>
                <w:rFonts w:asciiTheme="minorHAnsi" w:hAnsiTheme="minorHAnsi"/>
                <w:b/>
                <w:bCs/>
                <w:sz w:val="22"/>
              </w:rPr>
              <w:fldChar w:fldCharType="begin"/>
            </w:r>
            <w:r>
              <w:rPr>
                <w:rFonts w:asciiTheme="minorHAnsi" w:hAnsiTheme="minorHAnsi"/>
                <w:b/>
                <w:bCs/>
                <w:sz w:val="22"/>
              </w:rPr>
              <w:instrText>NUMPAGES</w:instrText>
            </w:r>
            <w:r>
              <w:rPr>
                <w:rFonts w:asciiTheme="minorHAnsi" w:hAnsiTheme="minorHAnsi"/>
                <w:b/>
                <w:bCs/>
                <w:sz w:val="22"/>
              </w:rPr>
              <w:fldChar w:fldCharType="separate"/>
            </w:r>
            <w:r>
              <w:rPr>
                <w:rFonts w:asciiTheme="minorHAnsi" w:hAnsiTheme="minorHAnsi"/>
                <w:b/>
                <w:bCs/>
                <w:sz w:val="22"/>
              </w:rPr>
              <w:t>12</w:t>
            </w:r>
            <w:r>
              <w:rPr>
                <w:rFonts w:asciiTheme="minorHAnsi" w:hAnsiTheme="minorHAnsi"/>
                <w:b/>
                <w:bCs/>
                <w:sz w:val="22"/>
              </w:rPr>
              <w:fldChar w:fldCharType="end"/>
            </w:r>
          </w:sdtContent>
        </w:sdt>
      </w:sdtContent>
    </w:sdt>
  </w:p>
  <w:p w14:paraId="2583F18E" w14:textId="77777777" w:rsidR="00401C82" w:rsidRDefault="00401C82">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4BDB" w14:textId="77777777" w:rsidR="007D3A34" w:rsidRDefault="007D3A34">
      <w:r>
        <w:separator/>
      </w:r>
    </w:p>
  </w:footnote>
  <w:footnote w:type="continuationSeparator" w:id="0">
    <w:p w14:paraId="6CFCADBD" w14:textId="77777777" w:rsidR="007D3A34" w:rsidRDefault="007D3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07E6" w14:textId="77777777" w:rsidR="00401C82" w:rsidRDefault="00000000">
    <w:pPr>
      <w:pStyle w:val="En-tte"/>
    </w:pPr>
    <w:r>
      <w:rPr>
        <w:noProof/>
      </w:rPr>
      <mc:AlternateContent>
        <mc:Choice Requires="wpg">
          <w:drawing>
            <wp:anchor distT="0" distB="0" distL="114300" distR="114300" simplePos="0" relativeHeight="251656192" behindDoc="1" locked="0" layoutInCell="0" allowOverlap="1" wp14:anchorId="297B5694" wp14:editId="7BB53365">
              <wp:simplePos x="0" y="0"/>
              <wp:positionH relativeFrom="margin">
                <wp:align>center</wp:align>
              </wp:positionH>
              <wp:positionV relativeFrom="margin">
                <wp:align>center</wp:align>
              </wp:positionV>
              <wp:extent cx="10706100" cy="10693400"/>
              <wp:effectExtent l="19050" t="0" r="0" b="0"/>
              <wp:wrapNone/>
              <wp:docPr id="2"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rotWithShape="1">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6192;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anchor distT="0" distB="0" distL="114300" distR="114300" simplePos="0" relativeHeight="251657216" behindDoc="1" locked="0" layoutInCell="0" allowOverlap="1" wp14:anchorId="71819C67" wp14:editId="145A1F38">
              <wp:simplePos x="0" y="0"/>
              <wp:positionH relativeFrom="margin">
                <wp:align>center</wp:align>
              </wp:positionH>
              <wp:positionV relativeFrom="margin">
                <wp:align>center</wp:align>
              </wp:positionV>
              <wp:extent cx="10706100" cy="10693400"/>
              <wp:effectExtent l="0" t="0" r="0" b="0"/>
              <wp:wrapNone/>
              <wp:docPr id="3" name="WordPictureWatermark2"/>
              <wp:cNvGraphicFramePr/>
              <a:graphic xmlns:a="http://schemas.openxmlformats.org/drawingml/2006/main">
                <a:graphicData uri="http://schemas.openxmlformats.org/drawingml/2006/picture">
                  <pic:pic xmlns:pic="http://schemas.openxmlformats.org/drawingml/2006/picture">
                    <pic:nvPicPr>
                      <pic:cNvPr id="0" name="" descr="Fond FEI"/>
                      <pic:cNvPicPr/>
                    </pic:nvPicPr>
                    <pic:blipFill rotWithShape="1">
                      <a:blip r:embed="rId1"/>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3" o:title=""/>
              <o:lock v:ext="edit" rota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A538" w14:textId="77777777" w:rsidR="00401C82" w:rsidRDefault="00000000">
    <w:pPr>
      <w:pStyle w:val="En-tte"/>
      <w:rPr>
        <w:rFonts w:ascii="Calibri" w:hAnsi="Calibri" w:cs="Arial"/>
      </w:rPr>
    </w:pPr>
    <w:r>
      <w:rPr>
        <w:noProof/>
      </w:rPr>
      <mc:AlternateContent>
        <mc:Choice Requires="wpg">
          <w:drawing>
            <wp:inline distT="0" distB="0" distL="0" distR="0" wp14:anchorId="606C6E4D" wp14:editId="3AD05A56">
              <wp:extent cx="1573619" cy="701749"/>
              <wp:effectExtent l="0" t="0" r="7620" b="3175"/>
              <wp:docPr id="1" name="Image 1447546199"/>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rotWithShape="1">
                      <a:blip r:embed="rId1"/>
                      <a:stretch/>
                    </pic:blipFill>
                    <pic:spPr bwMode="auto">
                      <a:xfrm>
                        <a:off x="0" y="0"/>
                        <a:ext cx="1594234" cy="710942"/>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3.91pt;height:55.26pt;mso-wrap-distance-left:0.00pt;mso-wrap-distance-top:0.00pt;mso-wrap-distance-right:0.00pt;mso-wrap-distance-bottom:0.00pt;z-index:1;" stroked="f">
              <v:imagedata r:id="rId2" o:title=""/>
              <o:lock v:ext="edit" rotation="t"/>
            </v:shape>
          </w:pict>
        </mc:Fallback>
      </mc:AlternateContent>
    </w:r>
  </w:p>
  <w:p w14:paraId="44304656" w14:textId="77777777" w:rsidR="00401C82" w:rsidRDefault="00401C82">
    <w:pPr>
      <w:pStyle w:val="En-tte"/>
      <w:tabs>
        <w:tab w:val="clear" w:pos="4536"/>
        <w:tab w:val="clear" w:pos="9072"/>
        <w:tab w:val="right" w:pos="9781"/>
      </w:tabs>
      <w:rPr>
        <w:rFonts w:ascii="Calibri" w:hAnsi="Calibri" w:cs="Arial"/>
        <w:b/>
        <w:bCs/>
        <w:smallCaps/>
      </w:rPr>
    </w:pPr>
  </w:p>
  <w:p w14:paraId="0B0727CA" w14:textId="77777777" w:rsidR="00401C82" w:rsidRDefault="00401C8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742B" w14:textId="77777777" w:rsidR="00401C82" w:rsidRDefault="00000000">
    <w:pPr>
      <w:pStyle w:val="En-tte"/>
    </w:pPr>
    <w:r>
      <w:rPr>
        <w:noProof/>
      </w:rPr>
      <mc:AlternateContent>
        <mc:Choice Requires="wpg">
          <w:drawing>
            <wp:inline distT="0" distB="0" distL="0" distR="0" wp14:anchorId="66267154" wp14:editId="6BD6866B">
              <wp:extent cx="1573619" cy="701749"/>
              <wp:effectExtent l="0" t="0" r="7620" b="3175"/>
              <wp:docPr id="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rotWithShape="1">
                      <a:blip r:embed="rId1"/>
                      <a:stretch/>
                    </pic:blipFill>
                    <pic:spPr bwMode="auto">
                      <a:xfrm>
                        <a:off x="0" y="0"/>
                        <a:ext cx="1594234" cy="710942"/>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3.91pt;height:55.26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ECDA"/>
    <w:multiLevelType w:val="multilevel"/>
    <w:tmpl w:val="159C6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1EB46"/>
    <w:multiLevelType w:val="multilevel"/>
    <w:tmpl w:val="B2A4B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CEA2AD"/>
    <w:multiLevelType w:val="multilevel"/>
    <w:tmpl w:val="EF900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B5AF7"/>
    <w:multiLevelType w:val="multilevel"/>
    <w:tmpl w:val="D39485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66A26"/>
    <w:multiLevelType w:val="multilevel"/>
    <w:tmpl w:val="77DEDC3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581544"/>
    <w:multiLevelType w:val="multilevel"/>
    <w:tmpl w:val="4B58F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DCA39"/>
    <w:multiLevelType w:val="multilevel"/>
    <w:tmpl w:val="E3A83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3D8E6"/>
    <w:multiLevelType w:val="multilevel"/>
    <w:tmpl w:val="BBE49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A4380"/>
    <w:multiLevelType w:val="multilevel"/>
    <w:tmpl w:val="B380B71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A003A6F"/>
    <w:multiLevelType w:val="multilevel"/>
    <w:tmpl w:val="85D6CF4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CCAA24"/>
    <w:multiLevelType w:val="multilevel"/>
    <w:tmpl w:val="A05A2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21D086"/>
    <w:multiLevelType w:val="multilevel"/>
    <w:tmpl w:val="359C0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486E0"/>
    <w:multiLevelType w:val="multilevel"/>
    <w:tmpl w:val="00BED3C2"/>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BE8CDE"/>
    <w:multiLevelType w:val="multilevel"/>
    <w:tmpl w:val="3C24A1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2FD9FA"/>
    <w:multiLevelType w:val="multilevel"/>
    <w:tmpl w:val="B862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310D5B"/>
    <w:multiLevelType w:val="multilevel"/>
    <w:tmpl w:val="854E7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0A6B46"/>
    <w:multiLevelType w:val="multilevel"/>
    <w:tmpl w:val="435A3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524432"/>
    <w:multiLevelType w:val="multilevel"/>
    <w:tmpl w:val="A398A8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250C5F"/>
    <w:multiLevelType w:val="multilevel"/>
    <w:tmpl w:val="D4AEC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A184CF"/>
    <w:multiLevelType w:val="multilevel"/>
    <w:tmpl w:val="C72C7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DA22DC"/>
    <w:multiLevelType w:val="multilevel"/>
    <w:tmpl w:val="8B1050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577167C"/>
    <w:multiLevelType w:val="multilevel"/>
    <w:tmpl w:val="7A404DB4"/>
    <w:lvl w:ilvl="0">
      <w:start w:val="1"/>
      <w:numFmt w:val="bullet"/>
      <w:lvlText w:val=""/>
      <w:lvlJc w:val="left"/>
      <w:pPr>
        <w:tabs>
          <w:tab w:val="num" w:pos="720"/>
        </w:tabs>
        <w:ind w:left="1440" w:hanging="360"/>
      </w:pPr>
      <w:rPr>
        <w:rFonts w:ascii="Symbol" w:hAnsi="Symbol" w:hint="default"/>
        <w:sz w:val="20"/>
      </w:rPr>
    </w:lvl>
    <w:lvl w:ilvl="1">
      <w:start w:val="1"/>
      <w:numFmt w:val="bullet"/>
      <w:lvlText w:val="o"/>
      <w:lvlJc w:val="left"/>
      <w:pPr>
        <w:tabs>
          <w:tab w:val="num" w:pos="1440"/>
        </w:tabs>
        <w:ind w:left="2160" w:hanging="360"/>
      </w:pPr>
      <w:rPr>
        <w:rFonts w:ascii="Courier New" w:hAnsi="Courier New" w:hint="default"/>
        <w:sz w:val="20"/>
      </w:rPr>
    </w:lvl>
    <w:lvl w:ilvl="2">
      <w:start w:val="1"/>
      <w:numFmt w:val="bullet"/>
      <w:lvlText w:val=""/>
      <w:lvlJc w:val="left"/>
      <w:pPr>
        <w:tabs>
          <w:tab w:val="num" w:pos="2160"/>
        </w:tabs>
        <w:ind w:left="2880" w:hanging="360"/>
      </w:pPr>
      <w:rPr>
        <w:rFonts w:ascii="Wingdings" w:hAnsi="Wingdings" w:hint="default"/>
        <w:sz w:val="20"/>
      </w:rPr>
    </w:lvl>
    <w:lvl w:ilvl="3">
      <w:start w:val="1"/>
      <w:numFmt w:val="bullet"/>
      <w:lvlText w:val=""/>
      <w:lvlJc w:val="left"/>
      <w:pPr>
        <w:tabs>
          <w:tab w:val="num" w:pos="2880"/>
        </w:tabs>
        <w:ind w:left="3600" w:hanging="360"/>
      </w:pPr>
      <w:rPr>
        <w:rFonts w:ascii="Wingdings" w:hAnsi="Wingdings" w:hint="default"/>
        <w:sz w:val="20"/>
      </w:rPr>
    </w:lvl>
    <w:lvl w:ilvl="4">
      <w:start w:val="1"/>
      <w:numFmt w:val="bullet"/>
      <w:lvlText w:val=""/>
      <w:lvlJc w:val="left"/>
      <w:pPr>
        <w:tabs>
          <w:tab w:val="num" w:pos="3600"/>
        </w:tabs>
        <w:ind w:left="4320" w:hanging="360"/>
      </w:pPr>
      <w:rPr>
        <w:rFonts w:ascii="Wingdings" w:hAnsi="Wingdings" w:hint="default"/>
        <w:sz w:val="20"/>
      </w:rPr>
    </w:lvl>
    <w:lvl w:ilvl="5">
      <w:start w:val="1"/>
      <w:numFmt w:val="bullet"/>
      <w:lvlText w:val=""/>
      <w:lvlJc w:val="left"/>
      <w:pPr>
        <w:tabs>
          <w:tab w:val="num" w:pos="4320"/>
        </w:tabs>
        <w:ind w:left="5040" w:hanging="360"/>
      </w:pPr>
      <w:rPr>
        <w:rFonts w:ascii="Wingdings" w:hAnsi="Wingdings" w:hint="default"/>
        <w:sz w:val="20"/>
      </w:rPr>
    </w:lvl>
    <w:lvl w:ilvl="6">
      <w:start w:val="1"/>
      <w:numFmt w:val="bullet"/>
      <w:lvlText w:val=""/>
      <w:lvlJc w:val="left"/>
      <w:pPr>
        <w:tabs>
          <w:tab w:val="num" w:pos="5040"/>
        </w:tabs>
        <w:ind w:left="5760" w:hanging="360"/>
      </w:pPr>
      <w:rPr>
        <w:rFonts w:ascii="Wingdings" w:hAnsi="Wingdings" w:hint="default"/>
        <w:sz w:val="20"/>
      </w:rPr>
    </w:lvl>
    <w:lvl w:ilvl="7">
      <w:start w:val="1"/>
      <w:numFmt w:val="bullet"/>
      <w:lvlText w:val=""/>
      <w:lvlJc w:val="left"/>
      <w:pPr>
        <w:tabs>
          <w:tab w:val="num" w:pos="5760"/>
        </w:tabs>
        <w:ind w:left="6480" w:hanging="360"/>
      </w:pPr>
      <w:rPr>
        <w:rFonts w:ascii="Wingdings" w:hAnsi="Wingdings" w:hint="default"/>
        <w:sz w:val="20"/>
      </w:rPr>
    </w:lvl>
    <w:lvl w:ilvl="8">
      <w:start w:val="1"/>
      <w:numFmt w:val="bullet"/>
      <w:lvlText w:val=""/>
      <w:lvlJc w:val="left"/>
      <w:pPr>
        <w:tabs>
          <w:tab w:val="num" w:pos="6480"/>
        </w:tabs>
        <w:ind w:left="7200" w:hanging="360"/>
      </w:pPr>
      <w:rPr>
        <w:rFonts w:ascii="Wingdings" w:hAnsi="Wingdings" w:hint="default"/>
        <w:sz w:val="20"/>
      </w:rPr>
    </w:lvl>
  </w:abstractNum>
  <w:abstractNum w:abstractNumId="22" w15:restartNumberingAfterBreak="0">
    <w:nsid w:val="459A668E"/>
    <w:multiLevelType w:val="multilevel"/>
    <w:tmpl w:val="33907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94E02B"/>
    <w:multiLevelType w:val="multilevel"/>
    <w:tmpl w:val="BB8C9E8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24" w15:restartNumberingAfterBreak="0">
    <w:nsid w:val="490B7F38"/>
    <w:multiLevelType w:val="multilevel"/>
    <w:tmpl w:val="044296BA"/>
    <w:lvl w:ilvl="0">
      <w:start w:val="1"/>
      <w:numFmt w:val="upperLetter"/>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25" w15:restartNumberingAfterBreak="0">
    <w:nsid w:val="49D68C15"/>
    <w:multiLevelType w:val="multilevel"/>
    <w:tmpl w:val="A2F2C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90752"/>
    <w:multiLevelType w:val="multilevel"/>
    <w:tmpl w:val="7B980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15F62A"/>
    <w:multiLevelType w:val="multilevel"/>
    <w:tmpl w:val="2C6A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50D540"/>
    <w:multiLevelType w:val="multilevel"/>
    <w:tmpl w:val="36B2D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1BD4F2"/>
    <w:multiLevelType w:val="multilevel"/>
    <w:tmpl w:val="97727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3808BD"/>
    <w:multiLevelType w:val="multilevel"/>
    <w:tmpl w:val="52144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3AA6A9"/>
    <w:multiLevelType w:val="multilevel"/>
    <w:tmpl w:val="5B123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3DB29D"/>
    <w:multiLevelType w:val="multilevel"/>
    <w:tmpl w:val="0C124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59DD67"/>
    <w:multiLevelType w:val="multilevel"/>
    <w:tmpl w:val="46D25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81F980"/>
    <w:multiLevelType w:val="multilevel"/>
    <w:tmpl w:val="1A580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3A76EB"/>
    <w:multiLevelType w:val="multilevel"/>
    <w:tmpl w:val="7BE4639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7AF26E25"/>
    <w:multiLevelType w:val="multilevel"/>
    <w:tmpl w:val="6D466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4DB308"/>
    <w:multiLevelType w:val="multilevel"/>
    <w:tmpl w:val="8BBAC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F4341"/>
    <w:multiLevelType w:val="multilevel"/>
    <w:tmpl w:val="6DC46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69807526">
    <w:abstractNumId w:val="26"/>
  </w:num>
  <w:num w:numId="2" w16cid:durableId="1041172451">
    <w:abstractNumId w:val="2"/>
  </w:num>
  <w:num w:numId="3" w16cid:durableId="719746347">
    <w:abstractNumId w:val="33"/>
  </w:num>
  <w:num w:numId="4" w16cid:durableId="1099642952">
    <w:abstractNumId w:val="14"/>
  </w:num>
  <w:num w:numId="5" w16cid:durableId="1333487874">
    <w:abstractNumId w:val="0"/>
  </w:num>
  <w:num w:numId="6" w16cid:durableId="1604922108">
    <w:abstractNumId w:val="27"/>
  </w:num>
  <w:num w:numId="7" w16cid:durableId="1008677098">
    <w:abstractNumId w:val="7"/>
  </w:num>
  <w:num w:numId="8" w16cid:durableId="1451195706">
    <w:abstractNumId w:val="28"/>
  </w:num>
  <w:num w:numId="9" w16cid:durableId="1697464805">
    <w:abstractNumId w:val="8"/>
  </w:num>
  <w:num w:numId="10" w16cid:durableId="49504916">
    <w:abstractNumId w:val="35"/>
  </w:num>
  <w:num w:numId="11" w16cid:durableId="1743722939">
    <w:abstractNumId w:val="23"/>
  </w:num>
  <w:num w:numId="12" w16cid:durableId="1683630506">
    <w:abstractNumId w:val="13"/>
  </w:num>
  <w:num w:numId="13" w16cid:durableId="1386953072">
    <w:abstractNumId w:val="19"/>
  </w:num>
  <w:num w:numId="14" w16cid:durableId="149054957">
    <w:abstractNumId w:val="1"/>
  </w:num>
  <w:num w:numId="15" w16cid:durableId="1663896151">
    <w:abstractNumId w:val="15"/>
  </w:num>
  <w:num w:numId="16" w16cid:durableId="447966165">
    <w:abstractNumId w:val="17"/>
  </w:num>
  <w:num w:numId="17" w16cid:durableId="1440639916">
    <w:abstractNumId w:val="11"/>
  </w:num>
  <w:num w:numId="18" w16cid:durableId="589778926">
    <w:abstractNumId w:val="29"/>
  </w:num>
  <w:num w:numId="19" w16cid:durableId="476992431">
    <w:abstractNumId w:val="37"/>
  </w:num>
  <w:num w:numId="20" w16cid:durableId="1151674486">
    <w:abstractNumId w:val="18"/>
  </w:num>
  <w:num w:numId="21" w16cid:durableId="1843277504">
    <w:abstractNumId w:val="25"/>
  </w:num>
  <w:num w:numId="22" w16cid:durableId="1599675957">
    <w:abstractNumId w:val="31"/>
  </w:num>
  <w:num w:numId="23" w16cid:durableId="947203641">
    <w:abstractNumId w:val="32"/>
  </w:num>
  <w:num w:numId="24" w16cid:durableId="1561016719">
    <w:abstractNumId w:val="10"/>
  </w:num>
  <w:num w:numId="25" w16cid:durableId="433332641">
    <w:abstractNumId w:val="34"/>
  </w:num>
  <w:num w:numId="26" w16cid:durableId="24143713">
    <w:abstractNumId w:val="6"/>
  </w:num>
  <w:num w:numId="27" w16cid:durableId="225917948">
    <w:abstractNumId w:val="5"/>
  </w:num>
  <w:num w:numId="28" w16cid:durableId="386032431">
    <w:abstractNumId w:val="30"/>
  </w:num>
  <w:num w:numId="29" w16cid:durableId="291643388">
    <w:abstractNumId w:val="12"/>
  </w:num>
  <w:num w:numId="30" w16cid:durableId="1341737190">
    <w:abstractNumId w:val="20"/>
  </w:num>
  <w:num w:numId="31" w16cid:durableId="1707871046">
    <w:abstractNumId w:val="4"/>
  </w:num>
  <w:num w:numId="32" w16cid:durableId="405108554">
    <w:abstractNumId w:val="24"/>
  </w:num>
  <w:num w:numId="33" w16cid:durableId="1412041160">
    <w:abstractNumId w:val="3"/>
  </w:num>
  <w:num w:numId="34" w16cid:durableId="1901356285">
    <w:abstractNumId w:val="16"/>
  </w:num>
  <w:num w:numId="35" w16cid:durableId="1369376735">
    <w:abstractNumId w:val="38"/>
  </w:num>
  <w:num w:numId="36" w16cid:durableId="1396969306">
    <w:abstractNumId w:val="22"/>
  </w:num>
  <w:num w:numId="37" w16cid:durableId="99378293">
    <w:abstractNumId w:val="36"/>
  </w:num>
  <w:num w:numId="38" w16cid:durableId="1274172457">
    <w:abstractNumId w:val="21"/>
  </w:num>
  <w:num w:numId="39" w16cid:durableId="6860585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C82"/>
    <w:rsid w:val="001654C8"/>
    <w:rsid w:val="002A7CBC"/>
    <w:rsid w:val="002E07DE"/>
    <w:rsid w:val="00401C82"/>
    <w:rsid w:val="007D3A34"/>
    <w:rsid w:val="008E1B40"/>
    <w:rsid w:val="00B87431"/>
    <w:rsid w:val="00D27487"/>
    <w:rsid w:val="00D3187C"/>
    <w:rsid w:val="00DE0F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C7887"/>
  <w15:docId w15:val="{4178EB21-5DC1-4D02-BC60-5ED251553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BE"/>
    </w:r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qFormat/>
    <w:pPr>
      <w:keepNext/>
      <w:outlineLvl w:val="3"/>
    </w:pPr>
    <w:rPr>
      <w:rFonts w:ascii="Arial" w:hAnsi="Arial" w:cs="Arial"/>
      <w:b/>
      <w:bCs/>
      <w:i/>
      <w:iCs/>
      <w:sz w:val="22"/>
      <w:szCs w:val="20"/>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Corpsdetexte">
    <w:name w:val="Body Text"/>
    <w:basedOn w:val="Normal"/>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jc w:val="both"/>
    </w:pPr>
    <w:rPr>
      <w:spacing w:val="-2"/>
      <w:sz w:val="22"/>
    </w:rPr>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En-tteCar">
    <w:name w:val="En-tête Car"/>
    <w:basedOn w:val="Policepardfaut"/>
    <w:link w:val="En-tte"/>
    <w:uiPriority w:val="99"/>
    <w:rPr>
      <w:sz w:val="24"/>
      <w:szCs w:val="24"/>
      <w:lang w:val="fr-FR" w:eastAsia="fr-FR" w:bidi="ar-SA"/>
    </w:rPr>
  </w:style>
  <w:style w:type="character" w:styleId="Numrodepage">
    <w:name w:val="page number"/>
    <w:basedOn w:val="Policepardfaut"/>
  </w:style>
  <w:style w:type="paragraph" w:customStyle="1" w:styleId="Paragraphedeliste1">
    <w:name w:val="Paragraphe de liste1"/>
    <w:basedOn w:val="Normal"/>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0"/>
    <w:basedOn w:val="Normal"/>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Pr>
      <w:sz w:val="24"/>
      <w:szCs w:val="24"/>
      <w:lang w:val="fr-FR" w:eastAsia="fr-FR" w:bidi="ar-SA"/>
    </w:rPr>
  </w:style>
  <w:style w:type="paragraph" w:styleId="Notedebasdepage">
    <w:name w:val="footnote text"/>
    <w:basedOn w:val="Normal"/>
    <w:link w:val="NotedebasdepageCar"/>
    <w:semiHidden/>
    <w:rPr>
      <w:sz w:val="20"/>
      <w:szCs w:val="20"/>
    </w:rPr>
  </w:style>
  <w:style w:type="character" w:styleId="Appelnotedebasdep">
    <w:name w:val="footnote reference"/>
    <w:basedOn w:val="Policepardfaut"/>
    <w:semiHidden/>
    <w:rPr>
      <w:vertAlign w:val="superscript"/>
    </w:rPr>
  </w:style>
  <w:style w:type="character" w:styleId="Marquedecommentaire">
    <w:name w:val="annotation reference"/>
    <w:basedOn w:val="Policepardfaut"/>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Tahoma"/>
      <w:sz w:val="16"/>
      <w:szCs w:val="16"/>
    </w:rPr>
  </w:style>
  <w:style w:type="character" w:styleId="Textedelespacerserv">
    <w:name w:val="Placeholder Text"/>
    <w:basedOn w:val="Policepardfaut"/>
    <w:uiPriority w:val="99"/>
    <w:semiHidden/>
    <w:rPr>
      <w:color w:val="808080"/>
    </w:rPr>
  </w:style>
  <w:style w:type="character" w:styleId="Lienhypertexte">
    <w:name w:val="Hyperlink"/>
    <w:basedOn w:val="Policepardfaut"/>
    <w:rPr>
      <w:color w:val="0000FF"/>
      <w:u w:val="single"/>
    </w:rPr>
  </w:style>
  <w:style w:type="paragraph" w:styleId="Paragraphedeliste">
    <w:name w:val="List Paragraph"/>
    <w:basedOn w:val="Normal"/>
    <w:uiPriority w:val="34"/>
    <w:qFormat/>
    <w:pPr>
      <w:ind w:left="720"/>
      <w:contextualSpacing/>
    </w:pPr>
  </w:style>
  <w:style w:type="paragraph" w:customStyle="1" w:styleId="Paragraphedeliste2">
    <w:name w:val="Paragraphe de liste2"/>
    <w:basedOn w:val="Normal"/>
    <w:uiPriority w:val="34"/>
    <w:qFormat/>
    <w:pPr>
      <w:ind w:left="708"/>
    </w:pPr>
  </w:style>
  <w:style w:type="table" w:customStyle="1" w:styleId="Grilledutableau1">
    <w:name w:val="Grille du tableau1"/>
    <w:basedOn w:val="TableauNormal"/>
    <w:next w:val="Grilledutableau"/>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Georgia" w:hAnsi="Georgia" w:cs="Georgia"/>
      <w:color w:val="000000"/>
      <w:sz w:val="24"/>
      <w:szCs w:val="24"/>
    </w:rPr>
  </w:style>
  <w:style w:type="character" w:customStyle="1" w:styleId="PieddepageCar">
    <w:name w:val="Pied de page Car"/>
    <w:basedOn w:val="Policepardfaut"/>
    <w:link w:val="Pieddepage"/>
    <w:uiPriority w:val="99"/>
    <w:rPr>
      <w:sz w:val="24"/>
      <w:szCs w:val="24"/>
    </w:rPr>
  </w:style>
  <w:style w:type="paragraph" w:customStyle="1" w:styleId="a">
    <w:name w:val="a"/>
    <w:basedOn w:val="Normal"/>
    <w:pPr>
      <w:jc w:val="both"/>
    </w:pPr>
    <w:rPr>
      <w:rFonts w:ascii="Arial" w:hAnsi="Arial"/>
      <w:sz w:val="22"/>
      <w:szCs w:val="20"/>
    </w:rPr>
  </w:style>
  <w:style w:type="character" w:customStyle="1" w:styleId="Titre3Car">
    <w:name w:val="Titre 3 Car"/>
    <w:basedOn w:val="Policepardfaut"/>
    <w:link w:val="Titre3"/>
    <w:semiHidden/>
    <w:rPr>
      <w:rFonts w:asciiTheme="majorHAnsi" w:eastAsiaTheme="majorEastAsia" w:hAnsiTheme="majorHAnsi" w:cstheme="majorBidi"/>
      <w:color w:val="243F60" w:themeColor="accent1" w:themeShade="7F"/>
      <w:sz w:val="24"/>
      <w:szCs w:val="24"/>
      <w:lang w:val="fr-BE"/>
    </w:rPr>
  </w:style>
  <w:style w:type="table" w:styleId="Grilledetableauclaire">
    <w:name w:val="Grid Table Light"/>
    <w:basedOn w:val="Tableau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vision">
    <w:name w:val="Revision"/>
    <w:hidden/>
    <w:uiPriority w:val="99"/>
    <w:semiHidden/>
    <w:rsid w:val="002E07DE"/>
    <w:rPr>
      <w:sz w:val="24"/>
      <w:szCs w:val="24"/>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ertypierre8007@gmai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anne-laure.dubilly@expertisefrance.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ion.vienne@expertisefrance.fr" TargetMode="External"/><Relationship Id="rId5" Type="http://schemas.openxmlformats.org/officeDocument/2006/relationships/numbering" Target="numbering.xml"/><Relationship Id="rId15" Type="http://schemas.openxmlformats.org/officeDocument/2006/relationships/hyperlink" Target="https://international-partnershi.ec.europa.eu/knowledge-hub/communicating-and-raising-eu-visibility-guidance-external-actions_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cherve.philippe@bonfed.gouv.h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2E5BB683C08547801E8FDF77944D5C" ma:contentTypeVersion="20" ma:contentTypeDescription="Create a new document." ma:contentTypeScope="" ma:versionID="751de557681dc3e9749b910ca19bce57">
  <xsd:schema xmlns:xsd="http://www.w3.org/2001/XMLSchema" xmlns:xs="http://www.w3.org/2001/XMLSchema" xmlns:p="http://schemas.microsoft.com/office/2006/metadata/properties" xmlns:ns2="e2333fd7-7164-446b-928d-4644650f4346" xmlns:ns3="a07c4deb-ef21-4452-9739-ab7911fcfa17" targetNamespace="http://schemas.microsoft.com/office/2006/metadata/properties" ma:root="true" ma:fieldsID="ee880eef8d3fb2a50bc0da6fecefc2bd" ns2:_="" ns3:_="">
    <xsd:import namespace="e2333fd7-7164-446b-928d-4644650f4346"/>
    <xsd:import namespace="a07c4deb-ef21-4452-9739-ab7911fcfa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nombr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33fd7-7164-446b-928d-4644650f43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ad18f7a-c56b-4b4d-a25d-e320a22f0f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ombre" ma:index="26" nillable="true" ma:displayName="nombre" ma:format="Dropdown" ma:internalName="nombre" ma:percentage="FALSE">
      <xsd:simpleType>
        <xsd:restriction base="dms:Number"/>
      </xsd:simpleType>
    </xsd:element>
    <xsd:element name="_Flow_SignoffStatus" ma:index="27"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7c4deb-ef21-4452-9739-ab7911fcfa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b8a52a2-025c-443a-aced-e60a43c5a141}" ma:internalName="TaxCatchAll" ma:showField="CatchAllData" ma:web="a07c4deb-ef21-4452-9739-ab7911fcfa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2333fd7-7164-446b-928d-4644650f4346" xsi:nil="true"/>
    <lcf76f155ced4ddcb4097134ff3c332f xmlns="e2333fd7-7164-446b-928d-4644650f4346">
      <Terms xmlns="http://schemas.microsoft.com/office/infopath/2007/PartnerControls"/>
    </lcf76f155ced4ddcb4097134ff3c332f>
    <TaxCatchAll xmlns="a07c4deb-ef21-4452-9739-ab7911fcfa17" xsi:nil="true"/>
    <nombre xmlns="e2333fd7-7164-446b-928d-4644650f434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3EDEB-23B2-489C-BDF9-FDA8E321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33fd7-7164-446b-928d-4644650f4346"/>
    <ds:schemaRef ds:uri="a07c4deb-ef21-4452-9739-ab7911fcf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18807-EA0E-4077-93B6-BBE224C77F7C}">
  <ds:schemaRefs>
    <ds:schemaRef ds:uri="http://schemas.microsoft.com/sharepoint/v3/contenttype/forms"/>
  </ds:schemaRefs>
</ds:datastoreItem>
</file>

<file path=customXml/itemProps3.xml><?xml version="1.0" encoding="utf-8"?>
<ds:datastoreItem xmlns:ds="http://schemas.openxmlformats.org/officeDocument/2006/customXml" ds:itemID="{EC128DB9-5B82-40D9-AC97-11E5CD217E87}">
  <ds:schemaRefs>
    <ds:schemaRef ds:uri="http://schemas.microsoft.com/office/2006/metadata/properties"/>
    <ds:schemaRef ds:uri="http://schemas.microsoft.com/office/infopath/2007/PartnerControls"/>
    <ds:schemaRef ds:uri="e2333fd7-7164-446b-928d-4644650f4346"/>
    <ds:schemaRef ds:uri="a07c4deb-ef21-4452-9739-ab7911fcfa17"/>
  </ds:schemaRefs>
</ds:datastoreItem>
</file>

<file path=customXml/itemProps4.xml><?xml version="1.0" encoding="utf-8"?>
<ds:datastoreItem xmlns:ds="http://schemas.openxmlformats.org/officeDocument/2006/customXml" ds:itemID="{6702AAC8-FED1-4EF0-8529-A19F2F78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7448</Words>
  <Characters>40964</Characters>
  <Application>Microsoft Office Word</Application>
  <DocSecurity>0</DocSecurity>
  <Lines>341</Lines>
  <Paragraphs>96</Paragraphs>
  <ScaleCrop>false</ScaleCrop>
  <Company>MAE</Company>
  <LinksUpToDate>false</LinksUpToDate>
  <CharactersWithSpaces>48316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Filin Florian</cp:lastModifiedBy>
  <cp:revision>17</cp:revision>
  <dcterms:created xsi:type="dcterms:W3CDTF">2026-01-13T14:44:00Z</dcterms:created>
  <dcterms:modified xsi:type="dcterms:W3CDTF">2026-03-20T18:34:00Z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0x0101009B2E5BB683C08547801E8FDF77944D5C</vt:lpwstr>
  </property>
  <property fmtid="{D5CDD505-2E9C-101B-9397-08002B2CF9AE}" pid="3" name="MediaServiceImageTags">
    <vt:lpwstr/>
  </property>
</Properties>
</file>